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B2E" w14:textId="77777777" w:rsidR="00F00C05" w:rsidRPr="00671CD8" w:rsidRDefault="007E7BBC" w:rsidP="009E53CD">
      <w:pPr>
        <w:pStyle w:val="berschrift1"/>
        <w:spacing w:line="360" w:lineRule="auto"/>
        <w:rPr>
          <w:rFonts w:ascii="Arial" w:hAnsi="Arial" w:cs="Arial"/>
          <w:b/>
          <w:bCs/>
          <w:caps/>
          <w:sz w:val="32"/>
          <w:szCs w:val="32"/>
          <w:lang w:val="it-CH"/>
        </w:rPr>
      </w:pPr>
      <w:r w:rsidRPr="00671CD8">
        <w:rPr>
          <w:rFonts w:ascii="Arial" w:hAnsi="Arial" w:cs="Arial"/>
          <w:b/>
          <w:bCs/>
          <w:caps/>
          <w:sz w:val="32"/>
          <w:szCs w:val="32"/>
          <w:lang w:val="it-CH"/>
        </w:rPr>
        <w:t>Criteri di rischio</w:t>
      </w:r>
    </w:p>
    <w:p w14:paraId="0C2B6667" w14:textId="77777777" w:rsidR="00F00C05" w:rsidRPr="00671CD8" w:rsidRDefault="00F00C05" w:rsidP="009E53CD">
      <w:pPr>
        <w:rPr>
          <w:rFonts w:ascii="Arial" w:hAnsi="Arial" w:cs="Arial"/>
          <w:b/>
          <w:sz w:val="22"/>
          <w:szCs w:val="22"/>
          <w:u w:val="single"/>
          <w:lang w:val="it-CH"/>
        </w:rPr>
      </w:pPr>
    </w:p>
    <w:p w14:paraId="780423DA" w14:textId="77777777" w:rsidR="00520AA3" w:rsidRPr="00671CD8" w:rsidRDefault="0036625C" w:rsidP="0036625C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/>
          <w:b/>
          <w:smallCaps/>
          <w:kern w:val="28"/>
          <w:sz w:val="28"/>
          <w:lang w:val="it-CH"/>
        </w:rPr>
      </w:pPr>
      <w:r w:rsidRPr="00671CD8">
        <w:rPr>
          <w:rFonts w:ascii="Arial" w:hAnsi="Arial"/>
          <w:b/>
          <w:smallCaps/>
          <w:kern w:val="28"/>
          <w:sz w:val="28"/>
          <w:lang w:val="it-CH"/>
        </w:rPr>
        <w:t>Relazioni d'affari a rischio accresciuto:</w:t>
      </w:r>
    </w:p>
    <w:p w14:paraId="51E0695D" w14:textId="77777777" w:rsidR="00725E8E" w:rsidRPr="00671CD8" w:rsidRDefault="00725E8E" w:rsidP="00725E8E">
      <w:pPr>
        <w:rPr>
          <w:rFonts w:ascii="Arial" w:hAnsi="Arial" w:cs="Arial"/>
          <w:sz w:val="22"/>
          <w:szCs w:val="22"/>
          <w:lang w:val="it-CH"/>
        </w:rPr>
      </w:pPr>
    </w:p>
    <w:p w14:paraId="293708B3" w14:textId="77777777" w:rsidR="00725E8E" w:rsidRPr="00671CD8" w:rsidRDefault="00725E8E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Sono sempre considerate relazioni d’affari che comportano un rischio accresciuto:</w:t>
      </w:r>
    </w:p>
    <w:p w14:paraId="3F5594CB" w14:textId="77777777" w:rsidR="00725E8E" w:rsidRPr="00671CD8" w:rsidRDefault="008D1CA4" w:rsidP="00EB7257">
      <w:pPr>
        <w:numPr>
          <w:ilvl w:val="0"/>
          <w:numId w:val="11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Sono considerate in ogni caso a rischio accresciuto le relazioni d’affari con persone politicamente esposte all’estero e quelle con le persone loro vicine, nonché con persone residenti in un paese considerato dal GAFI ad alto rischio o non cooperativo e per cui il GAFI invita a un’elevata diligenza</w:t>
      </w:r>
      <w:bookmarkStart w:id="0" w:name="_Ref107157628"/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1"/>
      </w:r>
      <w:bookmarkEnd w:id="0"/>
      <w:r w:rsidRPr="00671CD8">
        <w:rPr>
          <w:rFonts w:ascii="Arial" w:hAnsi="Arial" w:cs="Arial"/>
          <w:sz w:val="22"/>
          <w:szCs w:val="22"/>
          <w:lang w:val="it-CH"/>
        </w:rPr>
        <w:t>.</w:t>
      </w:r>
    </w:p>
    <w:p w14:paraId="5139FA73" w14:textId="77777777" w:rsidR="00725E8E" w:rsidRPr="00671CD8" w:rsidRDefault="00725E8E" w:rsidP="00F00C05">
      <w:pPr>
        <w:rPr>
          <w:rFonts w:ascii="Arial" w:hAnsi="Arial" w:cs="Arial"/>
          <w:sz w:val="22"/>
          <w:szCs w:val="22"/>
          <w:lang w:val="it-CH"/>
        </w:rPr>
      </w:pPr>
    </w:p>
    <w:p w14:paraId="3849EB4A" w14:textId="7FF1DB36" w:rsidR="00725E8E" w:rsidRPr="00671CD8" w:rsidRDefault="00E3552B" w:rsidP="00725E8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 xml:space="preserve">Sono considerate relazioni d’affari a rischio accresciuto in </w:t>
      </w:r>
      <w:r w:rsidR="00764192">
        <w:rPr>
          <w:rFonts w:ascii="Arial" w:hAnsi="Arial" w:cs="Arial"/>
          <w:sz w:val="22"/>
          <w:szCs w:val="22"/>
          <w:lang w:val="it-CH"/>
        </w:rPr>
        <w:t>cor</w:t>
      </w:r>
      <w:r w:rsidRPr="00671CD8">
        <w:rPr>
          <w:rFonts w:ascii="Arial" w:hAnsi="Arial" w:cs="Arial"/>
          <w:sz w:val="22"/>
          <w:szCs w:val="22"/>
          <w:lang w:val="it-CH"/>
        </w:rPr>
        <w:t xml:space="preserve">relazione con uno o più altri criteri di rischio supplementari le relazioni d’affari con: </w:t>
      </w:r>
    </w:p>
    <w:p w14:paraId="06D443BD" w14:textId="77777777" w:rsidR="00E3552B" w:rsidRPr="00671CD8" w:rsidRDefault="00E3552B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persone politicamente esposte in Svizzera e con persone loro vicine;</w:t>
      </w:r>
    </w:p>
    <w:p w14:paraId="18375293" w14:textId="77777777" w:rsidR="00E3552B" w:rsidRPr="00671CD8" w:rsidRDefault="00E3552B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persone politicamente esposte che rivestono funzioni dirigenziali presso organismi interstatali e con persone loro vicine;</w:t>
      </w:r>
    </w:p>
    <w:p w14:paraId="1D678BA0" w14:textId="77777777" w:rsidR="00725E8E" w:rsidRPr="00671CD8" w:rsidRDefault="00E3552B" w:rsidP="00EB7257">
      <w:pPr>
        <w:numPr>
          <w:ilvl w:val="0"/>
          <w:numId w:val="17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persone politicamente esposte che rivestono funzioni dirigenziali presso associazioni sportive internazionali e persone loro vicine.</w:t>
      </w:r>
    </w:p>
    <w:p w14:paraId="286431C6" w14:textId="77777777" w:rsidR="00E3552B" w:rsidRPr="00671CD8" w:rsidRDefault="00E3552B" w:rsidP="00E3552B">
      <w:pPr>
        <w:rPr>
          <w:rFonts w:ascii="Arial" w:hAnsi="Arial" w:cs="Arial"/>
          <w:sz w:val="22"/>
          <w:szCs w:val="22"/>
          <w:lang w:val="it-CH"/>
        </w:rPr>
      </w:pPr>
    </w:p>
    <w:p w14:paraId="26D638B2" w14:textId="77777777" w:rsidR="00E3552B" w:rsidRPr="00671CD8" w:rsidRDefault="00E3552B" w:rsidP="00E3552B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Ulteriori criteri per transazioni che presentano un rischio accresciuto:</w:t>
      </w:r>
    </w:p>
    <w:p w14:paraId="0349CE3F" w14:textId="77777777" w:rsidR="007A563B" w:rsidRPr="00671CD8" w:rsidRDefault="00795E7F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Sede o domicilio della controparte o dell’avente diritto economico o del detentore del controllo, come pure la nazionalità dell'uno o dell'altro:</w:t>
      </w:r>
    </w:p>
    <w:p w14:paraId="417A0899" w14:textId="77777777" w:rsidR="007A563B" w:rsidRPr="00671CD8" w:rsidRDefault="00795E7F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in un paese considerato dal Gruppo di azione finanziaria internazionale (GAFI) ad alto rischio o non cooperativo</w:t>
      </w:r>
      <w:bookmarkStart w:id="1" w:name="_Ref107154495"/>
      <w:r w:rsidRPr="00671CD8">
        <w:rPr>
          <w:rFonts w:ascii="Arial" w:hAnsi="Arial" w:cs="Arial"/>
          <w:sz w:val="22"/>
          <w:szCs w:val="22"/>
          <w:lang w:val="it-CH"/>
        </w:rPr>
        <w:footnoteReference w:id="2"/>
      </w:r>
      <w:bookmarkEnd w:id="1"/>
      <w:r w:rsidRPr="00671CD8">
        <w:rPr>
          <w:rFonts w:ascii="Arial" w:hAnsi="Arial" w:cs="Arial"/>
          <w:sz w:val="22"/>
          <w:szCs w:val="22"/>
          <w:lang w:val="it-CH"/>
        </w:rPr>
        <w:t xml:space="preserve">; </w:t>
      </w:r>
    </w:p>
    <w:p w14:paraId="01A8BAE4" w14:textId="77777777" w:rsidR="007A563B" w:rsidRPr="00671CD8" w:rsidRDefault="007A563B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o in uno dei seguenti paesi o continenti:</w:t>
      </w:r>
    </w:p>
    <w:p w14:paraId="4116771F" w14:textId="77777777" w:rsidR="00795E7F" w:rsidRPr="00671CD8" w:rsidRDefault="007A563B" w:rsidP="007A563B">
      <w:pPr>
        <w:numPr>
          <w:ilvl w:val="2"/>
          <w:numId w:val="18"/>
        </w:numPr>
        <w:ind w:left="1560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…</w:t>
      </w:r>
      <w:bookmarkStart w:id="2" w:name="_Ref107156794"/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3"/>
      </w:r>
      <w:bookmarkEnd w:id="2"/>
      <w:r w:rsidR="0063136C" w:rsidRPr="00671CD8">
        <w:rPr>
          <w:rFonts w:ascii="Arial" w:hAnsi="Arial" w:cs="Arial"/>
          <w:sz w:val="22"/>
          <w:szCs w:val="22"/>
          <w:lang w:val="it-CH"/>
        </w:rPr>
        <w:t>,</w:t>
      </w:r>
    </w:p>
    <w:p w14:paraId="15E4C63E" w14:textId="77777777" w:rsidR="007A563B" w:rsidRPr="00671CD8" w:rsidRDefault="00795E7F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 xml:space="preserve">Tipo e luogo dell’attività commerciale esercitata dalla controparte o dell’avente diritto economico, in particolare in caso di attività commerciale: </w:t>
      </w:r>
    </w:p>
    <w:p w14:paraId="0495FFA2" w14:textId="77777777" w:rsidR="00795E7F" w:rsidRPr="00671CD8" w:rsidRDefault="00795E7F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in un paese considerato dal GAFI ad alto rischio o non cooperativo</w:t>
      </w:r>
      <w:r w:rsidRPr="00671CD8">
        <w:rPr>
          <w:rFonts w:ascii="Arial" w:hAnsi="Arial" w:cs="Arial"/>
          <w:vertAlign w:val="superscript"/>
          <w:lang w:val="it-CH"/>
        </w:rPr>
        <w:footnoteReference w:id="4"/>
      </w:r>
      <w:r w:rsidRPr="00671CD8">
        <w:rPr>
          <w:rFonts w:ascii="Arial" w:hAnsi="Arial" w:cs="Arial"/>
          <w:sz w:val="22"/>
          <w:szCs w:val="22"/>
          <w:lang w:val="it-CH"/>
        </w:rPr>
        <w:t>;</w:t>
      </w:r>
    </w:p>
    <w:p w14:paraId="097CABCB" w14:textId="77777777" w:rsidR="007A563B" w:rsidRPr="00671CD8" w:rsidRDefault="007A563B" w:rsidP="007A563B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o in uno dei seguenti paesi o continenti:</w:t>
      </w:r>
    </w:p>
    <w:p w14:paraId="0ED7383B" w14:textId="77777777" w:rsidR="007A563B" w:rsidRPr="00671CD8" w:rsidRDefault="007A563B" w:rsidP="007A563B">
      <w:pPr>
        <w:numPr>
          <w:ilvl w:val="2"/>
          <w:numId w:val="18"/>
        </w:numPr>
        <w:ind w:left="1560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…</w:t>
      </w:r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5"/>
      </w:r>
      <w:r w:rsidRPr="00671CD8">
        <w:rPr>
          <w:rFonts w:ascii="Arial" w:hAnsi="Arial" w:cs="Arial"/>
          <w:sz w:val="22"/>
          <w:szCs w:val="22"/>
          <w:lang w:val="it-CH"/>
        </w:rPr>
        <w:t>,</w:t>
      </w:r>
    </w:p>
    <w:p w14:paraId="7194ECB9" w14:textId="77777777" w:rsidR="00795E7F" w:rsidRPr="00671CD8" w:rsidRDefault="00795E7F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Assenza di contatto personale con la controparte e l’avente diritto economico o con il detentore del controllo o con i suoi procuratori.</w:t>
      </w:r>
    </w:p>
    <w:p w14:paraId="794A655F" w14:textId="77777777" w:rsidR="0063136C" w:rsidRPr="00671CD8" w:rsidRDefault="0063136C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Attività commerciale o richiesta di prestazioni nel settore</w:t>
      </w:r>
    </w:p>
    <w:p w14:paraId="361FEA91" w14:textId="77777777" w:rsidR="0063136C" w:rsidRPr="00671CD8" w:rsidRDefault="00BE04E8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del commercio di armi;</w:t>
      </w:r>
    </w:p>
    <w:p w14:paraId="01769CAA" w14:textId="77777777" w:rsidR="0063136C" w:rsidRPr="00671CD8" w:rsidRDefault="00BE04E8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della gestione di casinò;</w:t>
      </w:r>
    </w:p>
    <w:p w14:paraId="3E64CD05" w14:textId="77777777" w:rsidR="00795E7F" w:rsidRPr="00671CD8" w:rsidRDefault="0063136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dell'estrazione / del commercio di pietre preziose;</w:t>
      </w:r>
    </w:p>
    <w:p w14:paraId="3C1A198D" w14:textId="77777777" w:rsidR="0063136C" w:rsidRPr="00671CD8" w:rsidRDefault="0063136C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...</w:t>
      </w:r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6"/>
      </w:r>
      <w:r w:rsidRPr="00671CD8">
        <w:rPr>
          <w:rFonts w:ascii="Arial" w:hAnsi="Arial" w:cs="Arial"/>
          <w:sz w:val="22"/>
          <w:szCs w:val="22"/>
          <w:lang w:val="it-CH"/>
        </w:rPr>
        <w:t xml:space="preserve"> oppure</w:t>
      </w:r>
    </w:p>
    <w:p w14:paraId="50530845" w14:textId="77777777" w:rsidR="00A45970" w:rsidRPr="00671CD8" w:rsidRDefault="00A45970" w:rsidP="0063136C">
      <w:pPr>
        <w:numPr>
          <w:ilvl w:val="1"/>
          <w:numId w:val="18"/>
        </w:numPr>
        <w:ind w:left="1418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se l’attività commerciale non è nota.</w:t>
      </w:r>
    </w:p>
    <w:p w14:paraId="1C7114F0" w14:textId="77777777" w:rsidR="00795E7F" w:rsidRPr="00671CD8" w:rsidRDefault="00795E7F" w:rsidP="00EB7257">
      <w:pPr>
        <w:numPr>
          <w:ilvl w:val="0"/>
          <w:numId w:val="18"/>
        </w:numPr>
        <w:spacing w:before="120"/>
        <w:ind w:left="1066"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Valori patrimoniali consegnati per un importo superiore a CHF ............. o all'equivalente in moneta estera o in criptovaluta.</w:t>
      </w:r>
    </w:p>
    <w:p w14:paraId="393CF4CF" w14:textId="77777777" w:rsidR="00795E7F" w:rsidRPr="00671CD8" w:rsidRDefault="00795E7F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Entrate e uscite di valori patrimoniali per un importo superiore a CHF ............. o all'equivalente in moneta estera o in criptovaluta.</w:t>
      </w:r>
    </w:p>
    <w:p w14:paraId="728876D2" w14:textId="77777777" w:rsidR="00795E7F" w:rsidRPr="00671CD8" w:rsidRDefault="00795E7F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lastRenderedPageBreak/>
        <w:t>La complessità della struttura della controparte o dell’avente diritto economico, ad esempio l’impiego di più società di sede o di una società di sede con azionisti fiduciari, in una giurisdizione non trasparente, senza chiari motivi o al fine di piazzare il patrimonio per breve tempo.</w:t>
      </w:r>
    </w:p>
    <w:p w14:paraId="78435D62" w14:textId="77777777" w:rsidR="001C7BCB" w:rsidRPr="00671CD8" w:rsidRDefault="001C7BCB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 xml:space="preserve">Il procuratore fornisce informazioni false o </w:t>
      </w:r>
      <w:r w:rsidR="00671CD8" w:rsidRPr="00671CD8">
        <w:rPr>
          <w:rFonts w:ascii="Arial" w:hAnsi="Arial" w:cs="Arial"/>
          <w:sz w:val="22"/>
          <w:szCs w:val="22"/>
          <w:lang w:val="it-CH"/>
        </w:rPr>
        <w:t>fuorvianti</w:t>
      </w:r>
      <w:r w:rsidRPr="00671CD8">
        <w:rPr>
          <w:rFonts w:ascii="Arial" w:hAnsi="Arial" w:cs="Arial"/>
          <w:sz w:val="22"/>
          <w:szCs w:val="22"/>
          <w:lang w:val="it-CH"/>
        </w:rPr>
        <w:t xml:space="preserve"> o si rifiuta di fornire informazioni.</w:t>
      </w:r>
    </w:p>
    <w:p w14:paraId="4B62659F" w14:textId="77777777" w:rsidR="00795E7F" w:rsidRPr="00671CD8" w:rsidRDefault="00795E7F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Nel caso di relazioni d'affari con un intermediario finanziario con domicilio o sede all'estero, nella misura in cui questi è sottoposto alla legislazione dei seguenti paesi per quanto attiene alla lotta contro il riciclaggio e contro il finanziamento del terrorismo:</w:t>
      </w:r>
    </w:p>
    <w:p w14:paraId="18E169B1" w14:textId="77777777" w:rsidR="00EB7257" w:rsidRPr="00671CD8" w:rsidRDefault="00A45970" w:rsidP="00EB7257">
      <w:pPr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…</w:t>
      </w:r>
      <w:r w:rsidR="00EB7257" w:rsidRPr="00671CD8">
        <w:rPr>
          <w:rFonts w:ascii="Arial" w:hAnsi="Arial" w:cs="Arial"/>
          <w:sz w:val="22"/>
          <w:szCs w:val="22"/>
          <w:lang w:val="it-CH"/>
        </w:rPr>
        <w:t>………………..</w:t>
      </w:r>
    </w:p>
    <w:p w14:paraId="1AA0787B" w14:textId="77777777" w:rsidR="00A45970" w:rsidRPr="00671CD8" w:rsidRDefault="00EB7257" w:rsidP="00EB7257">
      <w:pPr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…………………..</w:t>
      </w:r>
      <w:r w:rsidR="00A45970"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7"/>
      </w:r>
    </w:p>
    <w:p w14:paraId="193ABD9C" w14:textId="77777777" w:rsidR="00E3552B" w:rsidRPr="00671CD8" w:rsidRDefault="001C7BCB" w:rsidP="00EB7257">
      <w:pPr>
        <w:numPr>
          <w:ilvl w:val="0"/>
          <w:numId w:val="18"/>
        </w:numPr>
        <w:spacing w:before="120"/>
        <w:ind w:hanging="357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Oppure frequenti transazioni a rischio accresciuto.</w:t>
      </w:r>
    </w:p>
    <w:p w14:paraId="7D88C29D" w14:textId="77777777" w:rsidR="00237387" w:rsidRPr="00671CD8" w:rsidRDefault="00237387" w:rsidP="00237387">
      <w:pPr>
        <w:rPr>
          <w:rFonts w:ascii="Arial" w:hAnsi="Arial" w:cs="Arial"/>
          <w:lang w:val="it-CH"/>
        </w:rPr>
      </w:pPr>
    </w:p>
    <w:p w14:paraId="029F030A" w14:textId="77777777" w:rsidR="0036625C" w:rsidRPr="00671CD8" w:rsidRDefault="0036625C" w:rsidP="00237387">
      <w:pPr>
        <w:rPr>
          <w:rFonts w:ascii="Arial" w:hAnsi="Arial" w:cs="Arial"/>
          <w:lang w:val="it-CH"/>
        </w:rPr>
      </w:pPr>
    </w:p>
    <w:p w14:paraId="29444FCE" w14:textId="77777777" w:rsidR="0036625C" w:rsidRPr="00671CD8" w:rsidRDefault="0036625C" w:rsidP="00237387">
      <w:pPr>
        <w:rPr>
          <w:rFonts w:ascii="Arial" w:hAnsi="Arial" w:cs="Arial"/>
          <w:lang w:val="it-CH"/>
        </w:rPr>
      </w:pPr>
    </w:p>
    <w:p w14:paraId="3CB65C05" w14:textId="77777777" w:rsidR="006C6B8B" w:rsidRPr="00671CD8" w:rsidRDefault="0036625C" w:rsidP="00237387">
      <w:pPr>
        <w:rPr>
          <w:rFonts w:ascii="Arial" w:hAnsi="Arial"/>
          <w:b/>
          <w:smallCaps/>
          <w:kern w:val="28"/>
          <w:sz w:val="28"/>
          <w:lang w:val="it-CH"/>
        </w:rPr>
      </w:pPr>
      <w:r w:rsidRPr="00671CD8">
        <w:rPr>
          <w:rFonts w:ascii="Arial" w:hAnsi="Arial"/>
          <w:b/>
          <w:smallCaps/>
          <w:kern w:val="28"/>
          <w:sz w:val="28"/>
          <w:lang w:val="it-CH"/>
        </w:rPr>
        <w:t>II. Transazioni che presentano un rischio accresciuto:</w:t>
      </w:r>
    </w:p>
    <w:p w14:paraId="3AF4EF8D" w14:textId="77777777" w:rsidR="006C6B8B" w:rsidRPr="00671CD8" w:rsidRDefault="006C6B8B" w:rsidP="006C6B8B">
      <w:pPr>
        <w:rPr>
          <w:rFonts w:ascii="Arial" w:hAnsi="Arial" w:cs="Arial"/>
          <w:sz w:val="22"/>
          <w:szCs w:val="22"/>
          <w:lang w:val="it-CH"/>
        </w:rPr>
      </w:pPr>
    </w:p>
    <w:p w14:paraId="6196D5DA" w14:textId="77777777" w:rsidR="0036625C" w:rsidRPr="00671CD8" w:rsidRDefault="0036625C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Sono sempre considerate transazioni che presentano un rischio accresciuto:</w:t>
      </w:r>
    </w:p>
    <w:p w14:paraId="72970008" w14:textId="77777777" w:rsidR="0036625C" w:rsidRPr="00671CD8" w:rsidRDefault="0036625C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Transazioni nell'ambito delle quali valori patrimoniali menzionati all'art. 2 lett. a) Regolamento OAD, con un controvalore superiore a CHF 100’000, o l'equivalente in moneta estera, vengono depositati o ritirati fisicamente, in una sola volta o in modo scaglionato e</w:t>
      </w:r>
    </w:p>
    <w:p w14:paraId="25E92C11" w14:textId="77777777" w:rsidR="0036625C" w:rsidRPr="00671CD8" w:rsidRDefault="00671CD8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i</w:t>
      </w:r>
      <w:r w:rsidR="0036625C" w:rsidRPr="00671CD8">
        <w:rPr>
          <w:rFonts w:ascii="Arial" w:hAnsi="Arial" w:cs="Arial"/>
          <w:sz w:val="22"/>
          <w:szCs w:val="22"/>
          <w:lang w:val="it-CH"/>
        </w:rPr>
        <w:t>l trasferimento di denaro e di valori menzionati all'art. 2 lett. a) e b) Regolamento OAD quando una o più transazioni apparentemente collegate fra di loro raggiungono o superano la somma di CHF 5’000 o l'equivalente in moneta estera.</w:t>
      </w:r>
    </w:p>
    <w:p w14:paraId="7D4C5712" w14:textId="77777777" w:rsidR="0036625C" w:rsidRPr="00671CD8" w:rsidRDefault="0036625C" w:rsidP="00EB7257">
      <w:pPr>
        <w:numPr>
          <w:ilvl w:val="0"/>
          <w:numId w:val="19"/>
        </w:numPr>
        <w:spacing w:before="120"/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Pagamenti provenienti da o in un paese considerato dal GAFI ad alto rischio o non cooperativo e per il quale il GAFI invita a un’elevata prudenza</w:t>
      </w:r>
      <w:r w:rsidRPr="00671CD8">
        <w:rPr>
          <w:rStyle w:val="Funotenzeichen"/>
          <w:rFonts w:ascii="Arial" w:hAnsi="Arial" w:cs="Arial"/>
          <w:sz w:val="22"/>
          <w:szCs w:val="22"/>
          <w:lang w:val="it-CH"/>
        </w:rPr>
        <w:footnoteReference w:id="8"/>
      </w:r>
      <w:r w:rsidRPr="00671CD8">
        <w:rPr>
          <w:rFonts w:ascii="Arial" w:hAnsi="Arial" w:cs="Arial"/>
          <w:sz w:val="22"/>
          <w:szCs w:val="22"/>
          <w:lang w:val="it-CH"/>
        </w:rPr>
        <w:t>.</w:t>
      </w:r>
    </w:p>
    <w:p w14:paraId="74B55801" w14:textId="77777777" w:rsidR="0036625C" w:rsidRPr="00671CD8" w:rsidRDefault="0036625C" w:rsidP="0036625C">
      <w:pPr>
        <w:rPr>
          <w:rFonts w:ascii="Arial" w:hAnsi="Arial" w:cs="Arial"/>
          <w:sz w:val="22"/>
          <w:szCs w:val="22"/>
          <w:lang w:val="it-CH"/>
        </w:rPr>
      </w:pPr>
    </w:p>
    <w:p w14:paraId="6BFE11FA" w14:textId="77777777" w:rsidR="0036625C" w:rsidRPr="00671CD8" w:rsidRDefault="0036625C" w:rsidP="00725E8E">
      <w:pPr>
        <w:numPr>
          <w:ilvl w:val="0"/>
          <w:numId w:val="16"/>
        </w:numPr>
        <w:rPr>
          <w:rFonts w:ascii="Arial" w:hAnsi="Arial" w:cs="Arial"/>
          <w:sz w:val="22"/>
          <w:szCs w:val="22"/>
          <w:lang w:val="it-CH"/>
        </w:rPr>
      </w:pPr>
      <w:r w:rsidRPr="00671CD8">
        <w:rPr>
          <w:rFonts w:ascii="Arial" w:hAnsi="Arial" w:cs="Arial"/>
          <w:sz w:val="22"/>
          <w:szCs w:val="22"/>
          <w:lang w:val="it-CH"/>
        </w:rPr>
        <w:t>Ulteriori criteri per transazioni che presentano un rischio accresciuto:</w:t>
      </w:r>
    </w:p>
    <w:p w14:paraId="0D048827" w14:textId="77777777" w:rsidR="0036625C" w:rsidRPr="00671CD8" w:rsidRDefault="0036625C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 w:rsidRPr="00671CD8">
        <w:rPr>
          <w:sz w:val="22"/>
          <w:szCs w:val="22"/>
          <w:lang w:val="it-CH"/>
        </w:rPr>
        <w:t xml:space="preserve">Entrate e uscite di valori patrimoniali per un importo superiore a CHF ............. o all'equivalente in moneta estera o in criptovaluta. </w:t>
      </w:r>
    </w:p>
    <w:p w14:paraId="01E7FC0A" w14:textId="77777777" w:rsidR="0036625C" w:rsidRPr="00671CD8" w:rsidRDefault="0036625C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 w:rsidRPr="00671CD8">
        <w:rPr>
          <w:sz w:val="22"/>
          <w:szCs w:val="22"/>
          <w:lang w:val="it-CH"/>
        </w:rPr>
        <w:t xml:space="preserve">Cambiamenti significativi dei volumi o delle frequenze delle transazioni rispetto a quanto precedentemente avvenuto nell’ambito della relazione d’affari in esame e </w:t>
      </w:r>
    </w:p>
    <w:p w14:paraId="3BBCC421" w14:textId="77777777" w:rsidR="0036625C" w:rsidRPr="00671CD8" w:rsidRDefault="00671CD8" w:rsidP="00EB7257">
      <w:pPr>
        <w:pStyle w:val="Default"/>
        <w:numPr>
          <w:ilvl w:val="0"/>
          <w:numId w:val="14"/>
        </w:numPr>
        <w:spacing w:before="120" w:after="19"/>
        <w:ind w:left="1066" w:hanging="357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c</w:t>
      </w:r>
      <w:r w:rsidR="0036625C" w:rsidRPr="00671CD8">
        <w:rPr>
          <w:sz w:val="22"/>
          <w:szCs w:val="22"/>
          <w:lang w:val="it-CH"/>
        </w:rPr>
        <w:t xml:space="preserve">ambiamenti significativi dei volumi o delle frequenze delle transazioni rispetto a quanto usuale nell'ambito di relazioni d'affari paragonabili. </w:t>
      </w:r>
    </w:p>
    <w:p w14:paraId="53BCFE2E" w14:textId="77777777" w:rsidR="0036625C" w:rsidRPr="00671CD8" w:rsidRDefault="0036625C" w:rsidP="00EB7257">
      <w:pPr>
        <w:pStyle w:val="Default"/>
        <w:numPr>
          <w:ilvl w:val="0"/>
          <w:numId w:val="14"/>
        </w:numPr>
        <w:spacing w:before="120"/>
        <w:ind w:left="1066" w:hanging="357"/>
        <w:rPr>
          <w:sz w:val="22"/>
          <w:szCs w:val="22"/>
          <w:lang w:val="it-CH"/>
        </w:rPr>
      </w:pPr>
      <w:r w:rsidRPr="00671CD8">
        <w:rPr>
          <w:sz w:val="22"/>
          <w:szCs w:val="22"/>
          <w:lang w:val="it-CH"/>
        </w:rPr>
        <w:t>Il paese d'origine o di destinazione di pagamenti, in particolare in caso di pagamenti provenienti da o in un paese considerato dal GAFI ad alto rischio o non cooperativo</w:t>
      </w:r>
      <w:r w:rsidRPr="00671CD8">
        <w:rPr>
          <w:rStyle w:val="Funotenzeichen"/>
          <w:sz w:val="22"/>
          <w:szCs w:val="22"/>
          <w:lang w:val="it-CH"/>
        </w:rPr>
        <w:footnoteReference w:id="9"/>
      </w:r>
      <w:r w:rsidRPr="00671CD8">
        <w:rPr>
          <w:lang w:val="it-CH"/>
        </w:rPr>
        <w:t>.</w:t>
      </w:r>
      <w:r w:rsidRPr="00671CD8">
        <w:rPr>
          <w:sz w:val="22"/>
          <w:szCs w:val="22"/>
          <w:lang w:val="it-CH"/>
        </w:rPr>
        <w:t xml:space="preserve"> </w:t>
      </w:r>
    </w:p>
    <w:p w14:paraId="1470138A" w14:textId="77777777" w:rsidR="0036625C" w:rsidRPr="00671CD8" w:rsidRDefault="0036625C" w:rsidP="0036625C">
      <w:pPr>
        <w:ind w:left="720"/>
        <w:rPr>
          <w:rFonts w:ascii="Arial" w:hAnsi="Arial" w:cs="Arial"/>
          <w:sz w:val="22"/>
          <w:szCs w:val="22"/>
          <w:lang w:val="it-CH"/>
        </w:rPr>
      </w:pPr>
    </w:p>
    <w:p w14:paraId="2AAA4D08" w14:textId="77777777" w:rsidR="00E60E22" w:rsidRPr="00671CD8" w:rsidRDefault="00E60E22" w:rsidP="0036625C">
      <w:pPr>
        <w:ind w:left="720"/>
        <w:rPr>
          <w:rFonts w:ascii="Arial" w:hAnsi="Arial" w:cs="Arial"/>
          <w:sz w:val="22"/>
          <w:szCs w:val="22"/>
          <w:lang w:val="it-CH"/>
        </w:rPr>
      </w:pPr>
    </w:p>
    <w:p w14:paraId="6259F2B6" w14:textId="77777777" w:rsidR="00E60E22" w:rsidRPr="00671CD8" w:rsidRDefault="00E60E22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after="0" w:afterAutospacing="0" w:line="240" w:lineRule="auto"/>
        <w:rPr>
          <w:rFonts w:ascii="Arial" w:hAnsi="Arial" w:cs="Arial"/>
          <w:lang w:val="it-CH"/>
        </w:rPr>
      </w:pPr>
      <w:r w:rsidRPr="00671CD8">
        <w:rPr>
          <w:rFonts w:ascii="Arial" w:hAnsi="Arial" w:cs="Arial"/>
          <w:lang w:val="it-CH"/>
        </w:rPr>
        <w:t>……………………………</w:t>
      </w:r>
      <w:r w:rsidRPr="00671CD8">
        <w:rPr>
          <w:rFonts w:ascii="Arial" w:hAnsi="Arial" w:cs="Arial"/>
          <w:lang w:val="it-CH"/>
        </w:rPr>
        <w:tab/>
        <w:t>……………………………</w:t>
      </w:r>
    </w:p>
    <w:p w14:paraId="2FC122E9" w14:textId="77777777" w:rsidR="00EB7257" w:rsidRPr="00671CD8" w:rsidRDefault="00E60E22" w:rsidP="00EB7257">
      <w:pPr>
        <w:pStyle w:val="06AbsAufz-eing"/>
        <w:numPr>
          <w:ilvl w:val="0"/>
          <w:numId w:val="0"/>
        </w:numPr>
        <w:tabs>
          <w:tab w:val="left" w:pos="5387"/>
        </w:tabs>
        <w:spacing w:before="0" w:line="240" w:lineRule="auto"/>
        <w:rPr>
          <w:rFonts w:ascii="Arial" w:hAnsi="Arial" w:cs="Arial"/>
          <w:lang w:val="it-CH"/>
        </w:rPr>
      </w:pPr>
      <w:r w:rsidRPr="00671CD8">
        <w:rPr>
          <w:rFonts w:ascii="Arial" w:hAnsi="Arial" w:cs="Arial"/>
          <w:lang w:val="it-CH"/>
        </w:rPr>
        <w:t xml:space="preserve">Luogo e data </w:t>
      </w:r>
      <w:r w:rsidRPr="00671CD8">
        <w:rPr>
          <w:rFonts w:ascii="Arial" w:hAnsi="Arial" w:cs="Arial"/>
          <w:lang w:val="it-CH"/>
        </w:rPr>
        <w:tab/>
        <w:t>L’intermediario finanziario</w:t>
      </w:r>
    </w:p>
    <w:sectPr w:rsidR="00EB7257" w:rsidRPr="00671CD8" w:rsidSect="00585732">
      <w:headerReference w:type="default" r:id="rId8"/>
      <w:footerReference w:type="default" r:id="rId9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824F" w14:textId="77777777" w:rsidR="009D1E5A" w:rsidRDefault="009D1E5A">
      <w:r>
        <w:separator/>
      </w:r>
    </w:p>
  </w:endnote>
  <w:endnote w:type="continuationSeparator" w:id="0">
    <w:p w14:paraId="7873E645" w14:textId="77777777" w:rsidR="009D1E5A" w:rsidRDefault="009D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BFA5" w14:textId="77777777" w:rsidR="006C6B8B" w:rsidRPr="008E55A6" w:rsidRDefault="008E55A6" w:rsidP="008E55A6">
    <w:pPr>
      <w:pStyle w:val="Fuzeile"/>
      <w:jc w:val="right"/>
      <w:rPr>
        <w:rFonts w:ascii="Arial" w:hAnsi="Arial" w:cs="Arial"/>
        <w:sz w:val="20"/>
      </w:rPr>
    </w:pPr>
    <w:r w:rsidRPr="008E55A6">
      <w:rPr>
        <w:rFonts w:ascii="Arial" w:hAnsi="Arial" w:cs="Arial"/>
        <w:sz w:val="20"/>
      </w:rPr>
      <w:fldChar w:fldCharType="begin"/>
    </w:r>
    <w:r w:rsidRPr="008E55A6">
      <w:rPr>
        <w:rFonts w:ascii="Arial" w:hAnsi="Arial" w:cs="Arial"/>
        <w:sz w:val="20"/>
      </w:rPr>
      <w:instrText>PAGE   \* MERGEFORMAT</w:instrText>
    </w:r>
    <w:r w:rsidRPr="008E55A6">
      <w:rPr>
        <w:rFonts w:ascii="Arial" w:hAnsi="Arial" w:cs="Arial"/>
        <w:sz w:val="20"/>
      </w:rPr>
      <w:fldChar w:fldCharType="separate"/>
    </w:r>
    <w:r w:rsidR="00C40489" w:rsidRPr="00C40489">
      <w:rPr>
        <w:rFonts w:ascii="Arial" w:hAnsi="Arial" w:cs="Arial"/>
        <w:noProof/>
        <w:sz w:val="20"/>
        <w:lang w:val="de-DE"/>
      </w:rPr>
      <w:t>2</w:t>
    </w:r>
    <w:r w:rsidRPr="008E55A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1BFB" w14:textId="77777777" w:rsidR="009D1E5A" w:rsidRDefault="009D1E5A">
      <w:r>
        <w:separator/>
      </w:r>
    </w:p>
  </w:footnote>
  <w:footnote w:type="continuationSeparator" w:id="0">
    <w:p w14:paraId="27E127CF" w14:textId="77777777" w:rsidR="009D1E5A" w:rsidRDefault="009D1E5A">
      <w:r>
        <w:continuationSeparator/>
      </w:r>
    </w:p>
  </w:footnote>
  <w:footnote w:id="1">
    <w:p w14:paraId="3B77A0C5" w14:textId="77777777" w:rsidR="00E3552B" w:rsidRPr="007B0FB9" w:rsidRDefault="00E3552B">
      <w:pPr>
        <w:pStyle w:val="Funotentext"/>
        <w:rPr>
          <w:rFonts w:ascii="Arial" w:hAnsi="Arial" w:cs="Arial"/>
          <w:lang w:val="en-US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lang w:val="en-GB"/>
        </w:rPr>
        <w:t xml:space="preserve"> </w:t>
      </w:r>
      <w:hyperlink r:id="rId1" w:anchor="high-risk" w:history="1">
        <w:r w:rsidR="00795E7F" w:rsidRPr="007B0FB9">
          <w:rPr>
            <w:rStyle w:val="Hyperlink"/>
            <w:rFonts w:ascii="Arial" w:hAnsi="Arial" w:cs="Arial"/>
            <w:sz w:val="18"/>
            <w:szCs w:val="18"/>
            <w:lang w:val="en-US"/>
          </w:rPr>
          <w:t>http://www.fatf-gafi.org/countries/#high-risk</w:t>
        </w:r>
      </w:hyperlink>
      <w:r w:rsidRPr="00671CD8">
        <w:rPr>
          <w:rStyle w:val="Hyperlink"/>
          <w:rFonts w:ascii="Arial" w:hAnsi="Arial" w:cs="Arial"/>
          <w:sz w:val="18"/>
          <w:szCs w:val="18"/>
          <w:lang w:val="en-GB"/>
        </w:rPr>
        <w:t xml:space="preserve"> </w:t>
      </w:r>
      <w:r w:rsidRPr="00671CD8">
        <w:rPr>
          <w:rFonts w:ascii="Arial" w:hAnsi="Arial" w:cs="Arial"/>
          <w:sz w:val="18"/>
          <w:szCs w:val="18"/>
          <w:lang w:val="en-GB"/>
        </w:rPr>
        <w:t>(High-Risk Jurisdictions subject to a Call for Action).</w:t>
      </w:r>
    </w:p>
  </w:footnote>
  <w:footnote w:id="2">
    <w:p w14:paraId="775F6BB2" w14:textId="77777777" w:rsidR="00795E7F" w:rsidRPr="00671CD8" w:rsidRDefault="00795E7F" w:rsidP="00795E7F">
      <w:pPr>
        <w:pStyle w:val="Funotentext"/>
        <w:rPr>
          <w:rFonts w:ascii="Arial" w:hAnsi="Arial" w:cs="Arial"/>
          <w:sz w:val="18"/>
          <w:szCs w:val="18"/>
          <w:lang w:val="en-GB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2" w:anchor="high-risk" w:history="1">
        <w:r w:rsidR="002076E8" w:rsidRPr="00671CD8">
          <w:rPr>
            <w:rStyle w:val="Hyperlink"/>
            <w:rFonts w:ascii="Arial" w:hAnsi="Arial" w:cs="Arial"/>
            <w:sz w:val="18"/>
            <w:szCs w:val="18"/>
            <w:lang w:val="en-GB"/>
          </w:rPr>
          <w:t>http://www.fatf-gafi.org/countries/#high-risk</w:t>
        </w:r>
      </w:hyperlink>
      <w:r w:rsidRPr="00671CD8">
        <w:rPr>
          <w:rFonts w:ascii="Arial" w:hAnsi="Arial" w:cs="Arial"/>
          <w:sz w:val="18"/>
          <w:szCs w:val="18"/>
          <w:lang w:val="en-GB"/>
        </w:rPr>
        <w:t xml:space="preserve"> (Jurisdictions under Increased Monitoring).</w:t>
      </w:r>
    </w:p>
  </w:footnote>
  <w:footnote w:id="3">
    <w:p w14:paraId="22B38C78" w14:textId="77777777" w:rsidR="007A563B" w:rsidRPr="00671CD8" w:rsidRDefault="007A563B">
      <w:pPr>
        <w:pStyle w:val="Funotentext"/>
        <w:rPr>
          <w:rFonts w:ascii="Arial" w:hAnsi="Arial" w:cs="Arial"/>
          <w:sz w:val="18"/>
          <w:szCs w:val="18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Da completare con paesi o continenti che, dal punto di vista dell’IF, presentano un rischio accresciuto.</w:t>
      </w:r>
    </w:p>
  </w:footnote>
  <w:footnote w:id="4">
    <w:p w14:paraId="5D20945C" w14:textId="77777777" w:rsidR="0063136C" w:rsidRPr="00671CD8" w:rsidRDefault="0063136C" w:rsidP="0063136C">
      <w:pPr>
        <w:pStyle w:val="Funotentext"/>
        <w:rPr>
          <w:rFonts w:ascii="Arial" w:hAnsi="Arial" w:cs="Arial"/>
          <w:sz w:val="18"/>
          <w:szCs w:val="18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Cfr. nota a piè di pagina </w:t>
      </w:r>
      <w:r w:rsidR="00510389" w:rsidRPr="007B0FB9">
        <w:rPr>
          <w:rFonts w:ascii="Arial" w:hAnsi="Arial" w:cs="Arial"/>
          <w:sz w:val="18"/>
          <w:szCs w:val="18"/>
        </w:rPr>
        <w:fldChar w:fldCharType="begin"/>
      </w:r>
      <w:r w:rsidR="00510389" w:rsidRPr="00671CD8">
        <w:rPr>
          <w:rFonts w:ascii="Arial" w:hAnsi="Arial" w:cs="Arial"/>
          <w:sz w:val="18"/>
          <w:szCs w:val="18"/>
          <w:lang w:val="it-CH"/>
        </w:rPr>
        <w:instrText xml:space="preserve"> NOTEREF _Ref107154495 \h </w:instrText>
      </w:r>
      <w:r w:rsidR="000C092C" w:rsidRPr="00671CD8">
        <w:rPr>
          <w:rFonts w:ascii="Arial" w:hAnsi="Arial" w:cs="Arial"/>
          <w:sz w:val="18"/>
          <w:szCs w:val="18"/>
          <w:lang w:val="it-CH"/>
        </w:rPr>
        <w:instrText xml:space="preserve"> \* MERGEFORMAT </w:instrText>
      </w:r>
      <w:r w:rsidR="00510389" w:rsidRPr="007B0FB9">
        <w:rPr>
          <w:rFonts w:ascii="Arial" w:hAnsi="Arial" w:cs="Arial"/>
          <w:sz w:val="18"/>
          <w:szCs w:val="18"/>
        </w:rPr>
      </w:r>
      <w:r w:rsidR="00510389" w:rsidRPr="007B0FB9">
        <w:rPr>
          <w:rFonts w:ascii="Arial" w:hAnsi="Arial" w:cs="Arial"/>
          <w:sz w:val="18"/>
          <w:szCs w:val="18"/>
        </w:rPr>
        <w:fldChar w:fldCharType="separate"/>
      </w:r>
      <w:r w:rsidR="00510389" w:rsidRPr="00671CD8">
        <w:rPr>
          <w:rFonts w:ascii="Arial" w:hAnsi="Arial" w:cs="Arial"/>
          <w:sz w:val="18"/>
          <w:szCs w:val="18"/>
          <w:lang w:val="it-CH"/>
        </w:rPr>
        <w:t>2</w:t>
      </w:r>
      <w:r w:rsidR="00510389" w:rsidRPr="007B0FB9">
        <w:rPr>
          <w:rFonts w:ascii="Arial" w:hAnsi="Arial" w:cs="Arial"/>
          <w:sz w:val="18"/>
          <w:szCs w:val="18"/>
        </w:rPr>
        <w:fldChar w:fldCharType="end"/>
      </w:r>
      <w:r w:rsidRPr="00671CD8">
        <w:rPr>
          <w:rFonts w:ascii="Arial" w:hAnsi="Arial" w:cs="Arial"/>
          <w:sz w:val="18"/>
          <w:szCs w:val="18"/>
          <w:lang w:val="it-CH"/>
        </w:rPr>
        <w:t>.</w:t>
      </w:r>
    </w:p>
  </w:footnote>
  <w:footnote w:id="5">
    <w:p w14:paraId="45E8732D" w14:textId="77777777" w:rsidR="007A563B" w:rsidRPr="00671CD8" w:rsidRDefault="007A563B" w:rsidP="007A563B">
      <w:pPr>
        <w:pStyle w:val="Funotentext"/>
        <w:rPr>
          <w:rFonts w:ascii="Arial" w:hAnsi="Arial" w:cs="Arial"/>
          <w:sz w:val="18"/>
          <w:szCs w:val="18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Cfr. nota a piè di pagina </w:t>
      </w:r>
      <w:r w:rsidRPr="007B0FB9">
        <w:rPr>
          <w:rFonts w:ascii="Arial" w:hAnsi="Arial" w:cs="Arial"/>
          <w:sz w:val="18"/>
          <w:szCs w:val="18"/>
        </w:rPr>
        <w:fldChar w:fldCharType="begin"/>
      </w:r>
      <w:r w:rsidRPr="00671CD8">
        <w:rPr>
          <w:rFonts w:ascii="Arial" w:hAnsi="Arial" w:cs="Arial"/>
          <w:sz w:val="18"/>
          <w:szCs w:val="18"/>
          <w:lang w:val="it-CH"/>
        </w:rPr>
        <w:instrText xml:space="preserve"> NOTEREF _Ref107156794 \h </w:instrText>
      </w:r>
      <w:r w:rsidR="000C092C" w:rsidRPr="00671CD8">
        <w:rPr>
          <w:rFonts w:ascii="Arial" w:hAnsi="Arial" w:cs="Arial"/>
          <w:sz w:val="18"/>
          <w:szCs w:val="18"/>
          <w:lang w:val="it-CH"/>
        </w:rPr>
        <w:instrText xml:space="preserve"> \* MERGEFORMAT </w:instrText>
      </w:r>
      <w:r w:rsidRPr="007B0FB9">
        <w:rPr>
          <w:rFonts w:ascii="Arial" w:hAnsi="Arial" w:cs="Arial"/>
          <w:sz w:val="18"/>
          <w:szCs w:val="18"/>
        </w:rPr>
      </w:r>
      <w:r w:rsidRPr="007B0FB9">
        <w:rPr>
          <w:rFonts w:ascii="Arial" w:hAnsi="Arial" w:cs="Arial"/>
          <w:sz w:val="18"/>
          <w:szCs w:val="18"/>
        </w:rPr>
        <w:fldChar w:fldCharType="separate"/>
      </w:r>
      <w:r w:rsidRPr="00671CD8">
        <w:rPr>
          <w:rFonts w:ascii="Arial" w:hAnsi="Arial" w:cs="Arial"/>
          <w:sz w:val="18"/>
          <w:szCs w:val="18"/>
          <w:lang w:val="it-CH"/>
        </w:rPr>
        <w:t>3</w:t>
      </w:r>
      <w:r w:rsidRPr="007B0FB9">
        <w:rPr>
          <w:rFonts w:ascii="Arial" w:hAnsi="Arial" w:cs="Arial"/>
          <w:sz w:val="18"/>
          <w:szCs w:val="18"/>
        </w:rPr>
        <w:fldChar w:fldCharType="end"/>
      </w:r>
      <w:r w:rsidRPr="00671CD8">
        <w:rPr>
          <w:rFonts w:ascii="Arial" w:hAnsi="Arial" w:cs="Arial"/>
          <w:sz w:val="18"/>
          <w:szCs w:val="18"/>
          <w:lang w:val="it-CH"/>
        </w:rPr>
        <w:t>.</w:t>
      </w:r>
    </w:p>
  </w:footnote>
  <w:footnote w:id="6">
    <w:p w14:paraId="01975274" w14:textId="77777777" w:rsidR="0063136C" w:rsidRPr="00671CD8" w:rsidRDefault="0063136C">
      <w:pPr>
        <w:pStyle w:val="Funotentext"/>
        <w:rPr>
          <w:rFonts w:ascii="Arial" w:hAnsi="Arial" w:cs="Arial"/>
          <w:sz w:val="16"/>
          <w:szCs w:val="16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Elenco esemplificativo; da adeguare o completare con ulteriori attività che, dal punto di vista dell’IF, comportano un rischio accresciuto.</w:t>
      </w:r>
    </w:p>
  </w:footnote>
  <w:footnote w:id="7">
    <w:p w14:paraId="2542DC19" w14:textId="77777777" w:rsidR="00A45970" w:rsidRPr="00671CD8" w:rsidRDefault="00A45970">
      <w:pPr>
        <w:pStyle w:val="Funotentext"/>
        <w:rPr>
          <w:rFonts w:ascii="Arial" w:hAnsi="Arial" w:cs="Arial"/>
          <w:sz w:val="18"/>
          <w:szCs w:val="18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Da completare con paesi o giurisdizioni che, dal punto di vista dell’IF, presentano un rischio accresciuto.</w:t>
      </w:r>
    </w:p>
  </w:footnote>
  <w:footnote w:id="8">
    <w:p w14:paraId="11026827" w14:textId="77777777" w:rsidR="0036625C" w:rsidRPr="00671CD8" w:rsidRDefault="0036625C">
      <w:pPr>
        <w:pStyle w:val="Funotentext"/>
        <w:rPr>
          <w:rFonts w:ascii="Arial" w:hAnsi="Arial" w:cs="Arial"/>
          <w:sz w:val="18"/>
          <w:szCs w:val="18"/>
          <w:lang w:val="it-CH"/>
        </w:rPr>
      </w:pPr>
      <w:r>
        <w:rPr>
          <w:rStyle w:val="Funotenzeichen"/>
          <w:rFonts w:ascii="Arial" w:hAnsi="Arial" w:cs="Arial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Cfr. nota a piè di pagina </w:t>
      </w:r>
      <w:r>
        <w:rPr>
          <w:rFonts w:ascii="Arial" w:hAnsi="Arial" w:cs="Arial"/>
          <w:sz w:val="18"/>
          <w:szCs w:val="18"/>
        </w:rPr>
        <w:fldChar w:fldCharType="begin"/>
      </w:r>
      <w:r w:rsidRPr="00671CD8">
        <w:rPr>
          <w:rFonts w:ascii="Arial" w:hAnsi="Arial" w:cs="Arial"/>
          <w:sz w:val="18"/>
          <w:szCs w:val="18"/>
          <w:lang w:val="it-CH"/>
        </w:rPr>
        <w:instrText xml:space="preserve"> NOTEREF _Ref107157628 \h </w:instrText>
      </w:r>
      <w:r>
        <w:rPr>
          <w:rFonts w:ascii="Arial" w:hAnsi="Arial" w:cs="Arial"/>
          <w:sz w:val="18"/>
          <w:szCs w:val="18"/>
        </w:rPr>
      </w:r>
      <w:r>
        <w:fldChar w:fldCharType="separate"/>
      </w:r>
      <w:r w:rsidRPr="00671CD8">
        <w:rPr>
          <w:rFonts w:ascii="Arial" w:hAnsi="Arial" w:cs="Arial"/>
          <w:sz w:val="18"/>
          <w:szCs w:val="18"/>
          <w:lang w:val="it-CH"/>
        </w:rPr>
        <w:t>1</w:t>
      </w:r>
      <w:r>
        <w:fldChar w:fldCharType="end"/>
      </w:r>
      <w:r w:rsidRPr="00671CD8">
        <w:rPr>
          <w:rFonts w:ascii="Arial" w:hAnsi="Arial" w:cs="Arial"/>
          <w:sz w:val="18"/>
          <w:szCs w:val="18"/>
          <w:lang w:val="it-CH"/>
        </w:rPr>
        <w:t>.</w:t>
      </w:r>
    </w:p>
  </w:footnote>
  <w:footnote w:id="9">
    <w:p w14:paraId="24626092" w14:textId="77777777" w:rsidR="0036625C" w:rsidRPr="00671CD8" w:rsidRDefault="0036625C">
      <w:pPr>
        <w:pStyle w:val="Funotentext"/>
        <w:rPr>
          <w:rFonts w:ascii="Arial" w:hAnsi="Arial" w:cs="Arial"/>
          <w:lang w:val="it-CH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 w:rsidRPr="00671CD8">
        <w:rPr>
          <w:rFonts w:ascii="Arial" w:hAnsi="Arial" w:cs="Arial"/>
          <w:sz w:val="18"/>
          <w:szCs w:val="18"/>
          <w:lang w:val="it-CH"/>
        </w:rPr>
        <w:t xml:space="preserve"> Cfr. nota a piè di pagina </w:t>
      </w:r>
      <w:r>
        <w:rPr>
          <w:rFonts w:ascii="Arial" w:hAnsi="Arial" w:cs="Arial"/>
          <w:sz w:val="18"/>
          <w:szCs w:val="18"/>
        </w:rPr>
        <w:fldChar w:fldCharType="begin"/>
      </w:r>
      <w:r w:rsidRPr="00671CD8">
        <w:rPr>
          <w:rFonts w:ascii="Arial" w:hAnsi="Arial" w:cs="Arial"/>
          <w:sz w:val="18"/>
          <w:szCs w:val="18"/>
          <w:lang w:val="it-CH"/>
        </w:rPr>
        <w:instrText xml:space="preserve"> NOTEREF _Ref107154495 \h </w:instrText>
      </w:r>
      <w:r>
        <w:rPr>
          <w:rFonts w:ascii="Arial" w:hAnsi="Arial" w:cs="Arial"/>
          <w:sz w:val="18"/>
          <w:szCs w:val="18"/>
        </w:rPr>
      </w:r>
      <w:r>
        <w:fldChar w:fldCharType="separate"/>
      </w:r>
      <w:r w:rsidRPr="00671CD8">
        <w:rPr>
          <w:rFonts w:ascii="Arial" w:hAnsi="Arial" w:cs="Arial"/>
          <w:sz w:val="18"/>
          <w:szCs w:val="18"/>
          <w:lang w:val="it-CH"/>
        </w:rPr>
        <w:t>2</w:t>
      </w:r>
      <w:r>
        <w:fldChar w:fldCharType="end"/>
      </w:r>
      <w:r w:rsidRPr="00671CD8">
        <w:rPr>
          <w:rFonts w:ascii="Arial" w:hAnsi="Arial" w:cs="Arial"/>
          <w:sz w:val="18"/>
          <w:szCs w:val="18"/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290"/>
    </w:tblGrid>
    <w:tr w:rsidR="00787D34" w:rsidRPr="00C30575" w14:paraId="46CDD666" w14:textId="77777777">
      <w:tc>
        <w:tcPr>
          <w:tcW w:w="3070" w:type="dxa"/>
        </w:tcPr>
        <w:p w14:paraId="650DFBB3" w14:textId="77777777" w:rsidR="00787D34" w:rsidRPr="006C6B8B" w:rsidRDefault="00787D34" w:rsidP="00585732">
          <w:pPr>
            <w:pStyle w:val="Kopfzeile"/>
            <w:rPr>
              <w:rFonts w:ascii="Arial" w:hAnsi="Arial"/>
              <w:sz w:val="18"/>
              <w:szCs w:val="18"/>
              <w:lang w:val="en-GB"/>
            </w:rPr>
          </w:pPr>
          <w:r>
            <w:rPr>
              <w:rFonts w:ascii="Arial" w:hAnsi="Arial"/>
              <w:sz w:val="18"/>
              <w:szCs w:val="18"/>
            </w:rPr>
            <w:t>OAD FSA/FSN</w:t>
          </w:r>
        </w:p>
      </w:tc>
      <w:tc>
        <w:tcPr>
          <w:tcW w:w="3070" w:type="dxa"/>
        </w:tcPr>
        <w:p w14:paraId="647DFC9C" w14:textId="77777777" w:rsidR="00787D34" w:rsidRPr="003E7414" w:rsidRDefault="006E07BB" w:rsidP="00585732">
          <w:pPr>
            <w:pStyle w:val="Kopfzeile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napToGrid w:val="0"/>
              <w:sz w:val="18"/>
              <w:szCs w:val="18"/>
            </w:rPr>
            <w:t xml:space="preserve">05A D </w:t>
          </w:r>
          <w:proofErr w:type="spellStart"/>
          <w:r>
            <w:rPr>
              <w:rFonts w:ascii="Arial" w:hAnsi="Arial"/>
              <w:snapToGrid w:val="0"/>
              <w:sz w:val="18"/>
              <w:szCs w:val="18"/>
            </w:rPr>
            <w:t>Criteri</w:t>
          </w:r>
          <w:proofErr w:type="spellEnd"/>
        </w:p>
      </w:tc>
      <w:tc>
        <w:tcPr>
          <w:tcW w:w="3290" w:type="dxa"/>
        </w:tcPr>
        <w:p w14:paraId="5050CCCE" w14:textId="175C4455" w:rsidR="00787D34" w:rsidRPr="00C30575" w:rsidRDefault="00595854" w:rsidP="00EB7257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V. </w:t>
          </w:r>
          <w:r w:rsidR="00123AB7">
            <w:rPr>
              <w:rFonts w:ascii="Arial" w:hAnsi="Arial" w:cs="Arial"/>
              <w:sz w:val="18"/>
              <w:szCs w:val="18"/>
            </w:rPr>
            <w:t>2024</w:t>
          </w:r>
        </w:p>
      </w:tc>
    </w:tr>
  </w:tbl>
  <w:p w14:paraId="61A6DF8B" w14:textId="77777777" w:rsidR="00787D34" w:rsidRDefault="00787D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F90"/>
    <w:multiLevelType w:val="hybridMultilevel"/>
    <w:tmpl w:val="9314F618"/>
    <w:lvl w:ilvl="0" w:tplc="ABB60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70F6"/>
    <w:multiLevelType w:val="hybridMultilevel"/>
    <w:tmpl w:val="66C056EA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63F42454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8070003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90BAB"/>
    <w:multiLevelType w:val="hybridMultilevel"/>
    <w:tmpl w:val="F6D86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85F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1D4"/>
    <w:multiLevelType w:val="hybridMultilevel"/>
    <w:tmpl w:val="C5A4C6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ACE"/>
    <w:multiLevelType w:val="hybridMultilevel"/>
    <w:tmpl w:val="34A4E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62571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6BA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4102BE"/>
    <w:multiLevelType w:val="hybridMultilevel"/>
    <w:tmpl w:val="0C9E6BE2"/>
    <w:lvl w:ilvl="0" w:tplc="63F4245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665C21"/>
    <w:multiLevelType w:val="hybridMultilevel"/>
    <w:tmpl w:val="AE6E247A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2A25"/>
    <w:multiLevelType w:val="hybridMultilevel"/>
    <w:tmpl w:val="ACCA34F2"/>
    <w:lvl w:ilvl="0" w:tplc="E8AEF6F4">
      <w:start w:val="2"/>
      <w:numFmt w:val="bullet"/>
      <w:pStyle w:val="06AbsAufz-eing"/>
      <w:lvlText w:val="-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51E5B"/>
    <w:multiLevelType w:val="hybridMultilevel"/>
    <w:tmpl w:val="67C2E54C"/>
    <w:lvl w:ilvl="0" w:tplc="08070017">
      <w:start w:val="1"/>
      <w:numFmt w:val="lowerLetter"/>
      <w:lvlText w:val="%1)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70592"/>
    <w:multiLevelType w:val="hybridMultilevel"/>
    <w:tmpl w:val="39F24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71E8"/>
    <w:multiLevelType w:val="hybridMultilevel"/>
    <w:tmpl w:val="56DA69C0"/>
    <w:lvl w:ilvl="0" w:tplc="08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517855"/>
    <w:multiLevelType w:val="hybridMultilevel"/>
    <w:tmpl w:val="32321E92"/>
    <w:lvl w:ilvl="0" w:tplc="00A2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F6B62"/>
    <w:multiLevelType w:val="hybridMultilevel"/>
    <w:tmpl w:val="FAF06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027"/>
    <w:multiLevelType w:val="hybridMultilevel"/>
    <w:tmpl w:val="40DC8488"/>
    <w:lvl w:ilvl="0" w:tplc="D31C4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401DA"/>
    <w:multiLevelType w:val="hybridMultilevel"/>
    <w:tmpl w:val="E984F3F6"/>
    <w:lvl w:ilvl="0" w:tplc="FFFFFFFF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509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F35407"/>
    <w:multiLevelType w:val="hybridMultilevel"/>
    <w:tmpl w:val="BA5E2246"/>
    <w:lvl w:ilvl="0" w:tplc="8BB4EC6A">
      <w:start w:val="1"/>
      <w:numFmt w:val="bullet"/>
      <w:lvlText w:val="▪"/>
      <w:lvlJc w:val="left"/>
      <w:pPr>
        <w:tabs>
          <w:tab w:val="num" w:pos="1310"/>
        </w:tabs>
        <w:ind w:left="1310" w:hanging="230"/>
      </w:pPr>
      <w:rPr>
        <w:rFonts w:ascii="Verdana" w:hAnsi="Verdana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677376">
    <w:abstractNumId w:val="17"/>
  </w:num>
  <w:num w:numId="2" w16cid:durableId="69236654">
    <w:abstractNumId w:val="19"/>
  </w:num>
  <w:num w:numId="3" w16cid:durableId="841941341">
    <w:abstractNumId w:val="15"/>
  </w:num>
  <w:num w:numId="4" w16cid:durableId="1102383258">
    <w:abstractNumId w:val="10"/>
  </w:num>
  <w:num w:numId="5" w16cid:durableId="1566455513">
    <w:abstractNumId w:val="3"/>
  </w:num>
  <w:num w:numId="6" w16cid:durableId="1486900609">
    <w:abstractNumId w:val="6"/>
  </w:num>
  <w:num w:numId="7" w16cid:durableId="784927507">
    <w:abstractNumId w:val="16"/>
  </w:num>
  <w:num w:numId="8" w16cid:durableId="1079326511">
    <w:abstractNumId w:val="4"/>
  </w:num>
  <w:num w:numId="9" w16cid:durableId="825977741">
    <w:abstractNumId w:val="0"/>
  </w:num>
  <w:num w:numId="10" w16cid:durableId="1695614668">
    <w:abstractNumId w:val="13"/>
  </w:num>
  <w:num w:numId="11" w16cid:durableId="794758646">
    <w:abstractNumId w:val="8"/>
  </w:num>
  <w:num w:numId="12" w16cid:durableId="191386675">
    <w:abstractNumId w:val="5"/>
  </w:num>
  <w:num w:numId="13" w16cid:durableId="1956478008">
    <w:abstractNumId w:val="1"/>
  </w:num>
  <w:num w:numId="14" w16cid:durableId="19284459">
    <w:abstractNumId w:val="14"/>
  </w:num>
  <w:num w:numId="15" w16cid:durableId="238442761">
    <w:abstractNumId w:val="11"/>
  </w:num>
  <w:num w:numId="16" w16cid:durableId="1189370529">
    <w:abstractNumId w:val="7"/>
  </w:num>
  <w:num w:numId="17" w16cid:durableId="8072621">
    <w:abstractNumId w:val="12"/>
  </w:num>
  <w:num w:numId="18" w16cid:durableId="1615668689">
    <w:abstractNumId w:val="2"/>
  </w:num>
  <w:num w:numId="19" w16cid:durableId="299069616">
    <w:abstractNumId w:val="18"/>
  </w:num>
  <w:num w:numId="20" w16cid:durableId="1086877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39D3C3D-D1EF-4B97-9DA9-FA34C98C1618}"/>
    <w:docVar w:name="dgnword-eventsink" w:val="588117072"/>
  </w:docVars>
  <w:rsids>
    <w:rsidRoot w:val="00F00C05"/>
    <w:rsid w:val="00004E78"/>
    <w:rsid w:val="000064B9"/>
    <w:rsid w:val="00011EDB"/>
    <w:rsid w:val="00046B5F"/>
    <w:rsid w:val="00061970"/>
    <w:rsid w:val="000665BA"/>
    <w:rsid w:val="00072707"/>
    <w:rsid w:val="00083279"/>
    <w:rsid w:val="000A17A8"/>
    <w:rsid w:val="000C092C"/>
    <w:rsid w:val="000C2FA9"/>
    <w:rsid w:val="000D00BE"/>
    <w:rsid w:val="000D0FF8"/>
    <w:rsid w:val="000D58DB"/>
    <w:rsid w:val="00123AB7"/>
    <w:rsid w:val="00132FAA"/>
    <w:rsid w:val="00142876"/>
    <w:rsid w:val="00144230"/>
    <w:rsid w:val="00154426"/>
    <w:rsid w:val="001677F6"/>
    <w:rsid w:val="001754FA"/>
    <w:rsid w:val="001811FA"/>
    <w:rsid w:val="00181F56"/>
    <w:rsid w:val="001B4301"/>
    <w:rsid w:val="001C7BCB"/>
    <w:rsid w:val="001E1C69"/>
    <w:rsid w:val="002046E7"/>
    <w:rsid w:val="002076E8"/>
    <w:rsid w:val="00215201"/>
    <w:rsid w:val="00237387"/>
    <w:rsid w:val="00251158"/>
    <w:rsid w:val="00274D4B"/>
    <w:rsid w:val="00282AA4"/>
    <w:rsid w:val="00284E37"/>
    <w:rsid w:val="0028764E"/>
    <w:rsid w:val="00293ED6"/>
    <w:rsid w:val="002A4290"/>
    <w:rsid w:val="002E208D"/>
    <w:rsid w:val="002F4BA1"/>
    <w:rsid w:val="0034253F"/>
    <w:rsid w:val="00343F42"/>
    <w:rsid w:val="00356AA9"/>
    <w:rsid w:val="0036625C"/>
    <w:rsid w:val="00380F0C"/>
    <w:rsid w:val="003903AE"/>
    <w:rsid w:val="003A2ACF"/>
    <w:rsid w:val="003F1CAD"/>
    <w:rsid w:val="003F380B"/>
    <w:rsid w:val="00407D73"/>
    <w:rsid w:val="00412322"/>
    <w:rsid w:val="00412FE1"/>
    <w:rsid w:val="00415A06"/>
    <w:rsid w:val="00440631"/>
    <w:rsid w:val="0044327F"/>
    <w:rsid w:val="00446100"/>
    <w:rsid w:val="00460E5F"/>
    <w:rsid w:val="00463949"/>
    <w:rsid w:val="004D0C84"/>
    <w:rsid w:val="00510389"/>
    <w:rsid w:val="00510755"/>
    <w:rsid w:val="00520AA3"/>
    <w:rsid w:val="0053555B"/>
    <w:rsid w:val="00540554"/>
    <w:rsid w:val="00557D35"/>
    <w:rsid w:val="00577A37"/>
    <w:rsid w:val="00580FF7"/>
    <w:rsid w:val="005829C8"/>
    <w:rsid w:val="00585732"/>
    <w:rsid w:val="005913F8"/>
    <w:rsid w:val="00595854"/>
    <w:rsid w:val="005A1F01"/>
    <w:rsid w:val="005A59D0"/>
    <w:rsid w:val="005C3A28"/>
    <w:rsid w:val="006101AF"/>
    <w:rsid w:val="006135D4"/>
    <w:rsid w:val="00620268"/>
    <w:rsid w:val="00621C49"/>
    <w:rsid w:val="0062743C"/>
    <w:rsid w:val="0063136C"/>
    <w:rsid w:val="006326AF"/>
    <w:rsid w:val="00644023"/>
    <w:rsid w:val="00660437"/>
    <w:rsid w:val="00671CD8"/>
    <w:rsid w:val="00680302"/>
    <w:rsid w:val="006A543C"/>
    <w:rsid w:val="006B5015"/>
    <w:rsid w:val="006C14EE"/>
    <w:rsid w:val="006C6B8B"/>
    <w:rsid w:val="006E07BB"/>
    <w:rsid w:val="006F18E4"/>
    <w:rsid w:val="00725E8E"/>
    <w:rsid w:val="00764192"/>
    <w:rsid w:val="00770387"/>
    <w:rsid w:val="00787D34"/>
    <w:rsid w:val="00792499"/>
    <w:rsid w:val="00795E7F"/>
    <w:rsid w:val="007A563B"/>
    <w:rsid w:val="007B0FB9"/>
    <w:rsid w:val="007B583C"/>
    <w:rsid w:val="007C64E4"/>
    <w:rsid w:val="007E6C97"/>
    <w:rsid w:val="007E7BBC"/>
    <w:rsid w:val="007F656E"/>
    <w:rsid w:val="00804347"/>
    <w:rsid w:val="00817455"/>
    <w:rsid w:val="0082496D"/>
    <w:rsid w:val="008319C4"/>
    <w:rsid w:val="008826EC"/>
    <w:rsid w:val="00886463"/>
    <w:rsid w:val="008A5A6F"/>
    <w:rsid w:val="008B7F5D"/>
    <w:rsid w:val="008C3142"/>
    <w:rsid w:val="008C3782"/>
    <w:rsid w:val="008D1CA4"/>
    <w:rsid w:val="008D57CC"/>
    <w:rsid w:val="008E21D1"/>
    <w:rsid w:val="008E55A6"/>
    <w:rsid w:val="008F66FC"/>
    <w:rsid w:val="009315B0"/>
    <w:rsid w:val="009324F0"/>
    <w:rsid w:val="0094080B"/>
    <w:rsid w:val="00954502"/>
    <w:rsid w:val="0097593D"/>
    <w:rsid w:val="00992194"/>
    <w:rsid w:val="00996595"/>
    <w:rsid w:val="009968F6"/>
    <w:rsid w:val="009B4D47"/>
    <w:rsid w:val="009C56D4"/>
    <w:rsid w:val="009C663B"/>
    <w:rsid w:val="009D1E5A"/>
    <w:rsid w:val="009D324E"/>
    <w:rsid w:val="009E53CD"/>
    <w:rsid w:val="009F6249"/>
    <w:rsid w:val="00A12E85"/>
    <w:rsid w:val="00A34BF8"/>
    <w:rsid w:val="00A35D42"/>
    <w:rsid w:val="00A45970"/>
    <w:rsid w:val="00A4657A"/>
    <w:rsid w:val="00A6139D"/>
    <w:rsid w:val="00A622C5"/>
    <w:rsid w:val="00A635B5"/>
    <w:rsid w:val="00A81D6E"/>
    <w:rsid w:val="00AC5A54"/>
    <w:rsid w:val="00AE13B6"/>
    <w:rsid w:val="00B11CB6"/>
    <w:rsid w:val="00B137F1"/>
    <w:rsid w:val="00B2698B"/>
    <w:rsid w:val="00B71F19"/>
    <w:rsid w:val="00B744C8"/>
    <w:rsid w:val="00B75137"/>
    <w:rsid w:val="00B84D35"/>
    <w:rsid w:val="00BA1A94"/>
    <w:rsid w:val="00BA3B15"/>
    <w:rsid w:val="00BB5D2C"/>
    <w:rsid w:val="00BC613C"/>
    <w:rsid w:val="00BD6F4A"/>
    <w:rsid w:val="00BE04E8"/>
    <w:rsid w:val="00BF0BC9"/>
    <w:rsid w:val="00BF0CAF"/>
    <w:rsid w:val="00BF0F14"/>
    <w:rsid w:val="00C20AD6"/>
    <w:rsid w:val="00C21BCE"/>
    <w:rsid w:val="00C30575"/>
    <w:rsid w:val="00C314CD"/>
    <w:rsid w:val="00C352A1"/>
    <w:rsid w:val="00C40489"/>
    <w:rsid w:val="00C440DE"/>
    <w:rsid w:val="00C47BD1"/>
    <w:rsid w:val="00C54FFC"/>
    <w:rsid w:val="00C66C68"/>
    <w:rsid w:val="00C806D0"/>
    <w:rsid w:val="00C869A4"/>
    <w:rsid w:val="00CB500A"/>
    <w:rsid w:val="00CE595E"/>
    <w:rsid w:val="00CF6D93"/>
    <w:rsid w:val="00D05E9C"/>
    <w:rsid w:val="00D20206"/>
    <w:rsid w:val="00D6460A"/>
    <w:rsid w:val="00D75223"/>
    <w:rsid w:val="00D8092C"/>
    <w:rsid w:val="00D9663B"/>
    <w:rsid w:val="00DB26C9"/>
    <w:rsid w:val="00DE557D"/>
    <w:rsid w:val="00DF0D90"/>
    <w:rsid w:val="00E129B3"/>
    <w:rsid w:val="00E3552B"/>
    <w:rsid w:val="00E3680B"/>
    <w:rsid w:val="00E4146C"/>
    <w:rsid w:val="00E565C2"/>
    <w:rsid w:val="00E60E22"/>
    <w:rsid w:val="00E84141"/>
    <w:rsid w:val="00E9082A"/>
    <w:rsid w:val="00EA180E"/>
    <w:rsid w:val="00EB7257"/>
    <w:rsid w:val="00EC077E"/>
    <w:rsid w:val="00EC693E"/>
    <w:rsid w:val="00ED596C"/>
    <w:rsid w:val="00EE13D2"/>
    <w:rsid w:val="00EF33C1"/>
    <w:rsid w:val="00F00C05"/>
    <w:rsid w:val="00F43F18"/>
    <w:rsid w:val="00F71FA7"/>
    <w:rsid w:val="00F844B4"/>
    <w:rsid w:val="00FA2048"/>
    <w:rsid w:val="00FA7D0F"/>
    <w:rsid w:val="00FB3865"/>
    <w:rsid w:val="00FB6904"/>
    <w:rsid w:val="00FC60A9"/>
    <w:rsid w:val="00FD3590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35CD0D7"/>
  <w15:chartTrackingRefBased/>
  <w15:docId w15:val="{088F5C0F-000C-4C58-8500-F0DDE402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73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E53CD"/>
    <w:pPr>
      <w:keepNext/>
      <w:outlineLvl w:val="0"/>
    </w:pPr>
    <w:rPr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53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5857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A2AC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30575"/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6C6B8B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0D90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F0D90"/>
  </w:style>
  <w:style w:type="character" w:styleId="Funotenzeichen">
    <w:name w:val="footnote reference"/>
    <w:uiPriority w:val="99"/>
    <w:semiHidden/>
    <w:unhideWhenUsed/>
    <w:rsid w:val="00DF0D9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BC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61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61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61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613C"/>
    <w:rPr>
      <w:b/>
      <w:bCs/>
    </w:rPr>
  </w:style>
  <w:style w:type="character" w:styleId="Hyperlink">
    <w:name w:val="Hyperlink"/>
    <w:uiPriority w:val="99"/>
    <w:rsid w:val="007B583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3662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6AbsAufz-eing">
    <w:name w:val="06AbsAufz - eing"/>
    <w:basedOn w:val="Standard"/>
    <w:rsid w:val="00E60E22"/>
    <w:pPr>
      <w:numPr>
        <w:numId w:val="15"/>
      </w:numPr>
      <w:spacing w:before="120" w:after="100" w:afterAutospacing="1" w:line="264" w:lineRule="auto"/>
      <w:jc w:val="both"/>
    </w:pPr>
    <w:rPr>
      <w:kern w:val="24"/>
      <w:sz w:val="20"/>
      <w:szCs w:val="20"/>
    </w:rPr>
  </w:style>
  <w:style w:type="character" w:styleId="BesuchterLink">
    <w:name w:val="FollowedHyperlink"/>
    <w:uiPriority w:val="99"/>
    <w:semiHidden/>
    <w:unhideWhenUsed/>
    <w:rsid w:val="002076E8"/>
    <w:rPr>
      <w:color w:val="954F72"/>
      <w:u w:val="single"/>
    </w:rPr>
  </w:style>
  <w:style w:type="paragraph" w:styleId="berarbeitung">
    <w:name w:val="Revision"/>
    <w:hidden/>
    <w:uiPriority w:val="99"/>
    <w:semiHidden/>
    <w:rsid w:val="00764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f-gafi.org/countries/" TargetMode="External"/><Relationship Id="rId1" Type="http://schemas.openxmlformats.org/officeDocument/2006/relationships/hyperlink" Target="http://www.fatf-gafi.org/countri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B50D-051D-49D1-9214-7B8C9817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Fiche d’évaluation des relations d’affaires et des transactions</vt:lpstr>
      <vt:lpstr>Fiche d’évaluation des relations d’affaires et des transactions</vt:lpstr>
    </vt:vector>
  </TitlesOfParts>
  <Company>Staiger. Schwald &amp; Partner</Company>
  <LinksUpToDate>false</LinksUpToDate>
  <CharactersWithSpaces>4460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http://www.fatf-gafi.org/countries/</vt:lpwstr>
      </vt:variant>
      <vt:variant>
        <vt:lpwstr>high-risk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d’évaluation des relations d’affaires et des transactions</dc:title>
  <dc:subject/>
  <dc:creator>SRO</dc:creator>
  <cp:keywords/>
  <cp:lastModifiedBy>Merita Nevzadi SRO SAV/SNV</cp:lastModifiedBy>
  <cp:revision>6</cp:revision>
  <cp:lastPrinted>2018-07-18T09:11:00Z</cp:lastPrinted>
  <dcterms:created xsi:type="dcterms:W3CDTF">2024-04-16T09:47:00Z</dcterms:created>
  <dcterms:modified xsi:type="dcterms:W3CDTF">2024-04-16T09:51:00Z</dcterms:modified>
</cp:coreProperties>
</file>