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D1079" w14:textId="77777777" w:rsidR="00F00C05" w:rsidRPr="00180BB8" w:rsidRDefault="007E7BBC" w:rsidP="009E53CD">
      <w:pPr>
        <w:pStyle w:val="berschrift1"/>
        <w:spacing w:line="360" w:lineRule="auto"/>
        <w:rPr>
          <w:rFonts w:ascii="Arial" w:hAnsi="Arial" w:cs="Arial"/>
          <w:b/>
          <w:bCs/>
          <w:caps/>
          <w:spacing w:val="-10"/>
          <w:sz w:val="32"/>
          <w:szCs w:val="32"/>
        </w:rPr>
      </w:pPr>
      <w:r w:rsidRPr="00180BB8">
        <w:rPr>
          <w:rFonts w:ascii="Arial" w:hAnsi="Arial" w:cs="Arial"/>
          <w:b/>
          <w:bCs/>
          <w:caps/>
          <w:spacing w:val="-10"/>
          <w:sz w:val="32"/>
          <w:szCs w:val="32"/>
        </w:rPr>
        <w:t xml:space="preserve">Classification </w:t>
      </w:r>
      <w:r w:rsidR="00E74371">
        <w:rPr>
          <w:rFonts w:ascii="Arial" w:hAnsi="Arial" w:cs="Arial"/>
          <w:b/>
          <w:bCs/>
          <w:caps/>
          <w:spacing w:val="-10"/>
          <w:sz w:val="32"/>
          <w:szCs w:val="32"/>
        </w:rPr>
        <w:t>DES RISQUES</w:t>
      </w:r>
    </w:p>
    <w:p w14:paraId="289DC0C9" w14:textId="77777777" w:rsidR="00F00C05" w:rsidRPr="00A638D5" w:rsidRDefault="00F00C05" w:rsidP="009E53CD">
      <w:pPr>
        <w:rPr>
          <w:rFonts w:ascii="Arial" w:hAnsi="Arial" w:cs="Arial"/>
          <w:b/>
          <w:sz w:val="22"/>
          <w:szCs w:val="22"/>
          <w:u w:val="single"/>
        </w:rPr>
      </w:pPr>
    </w:p>
    <w:p w14:paraId="46F995CB" w14:textId="6EF746DF" w:rsidR="00F00C05" w:rsidRPr="00A638D5" w:rsidRDefault="007E7287" w:rsidP="00F96B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412322">
        <w:rPr>
          <w:rFonts w:ascii="Arial" w:hAnsi="Arial" w:cs="Arial"/>
          <w:sz w:val="22"/>
          <w:szCs w:val="22"/>
        </w:rPr>
        <w:t xml:space="preserve">es relations d’affaires </w:t>
      </w:r>
      <w:r>
        <w:rPr>
          <w:rFonts w:ascii="Arial" w:hAnsi="Arial" w:cs="Arial"/>
          <w:sz w:val="22"/>
          <w:szCs w:val="22"/>
        </w:rPr>
        <w:t xml:space="preserve">et transactions </w:t>
      </w:r>
      <w:r w:rsidR="00412322">
        <w:rPr>
          <w:rFonts w:ascii="Arial" w:hAnsi="Arial" w:cs="Arial"/>
          <w:sz w:val="22"/>
          <w:szCs w:val="22"/>
        </w:rPr>
        <w:t>présent</w:t>
      </w:r>
      <w:r w:rsidR="009D2001">
        <w:rPr>
          <w:rFonts w:ascii="Arial" w:hAnsi="Arial" w:cs="Arial"/>
          <w:sz w:val="22"/>
          <w:szCs w:val="22"/>
        </w:rPr>
        <w:t>e</w:t>
      </w:r>
      <w:r w:rsidR="00412322">
        <w:rPr>
          <w:rFonts w:ascii="Arial" w:hAnsi="Arial" w:cs="Arial"/>
          <w:sz w:val="22"/>
          <w:szCs w:val="22"/>
        </w:rPr>
        <w:t>nt un « risque accru » selon les directives internes de l’intermédiaire financier affilié</w:t>
      </w:r>
      <w:r>
        <w:rPr>
          <w:rFonts w:ascii="Arial" w:hAnsi="Arial" w:cs="Arial"/>
          <w:sz w:val="22"/>
          <w:szCs w:val="22"/>
        </w:rPr>
        <w:t xml:space="preserve"> </w:t>
      </w:r>
      <w:r w:rsidR="00412322">
        <w:rPr>
          <w:rFonts w:ascii="Arial" w:hAnsi="Arial" w:cs="Arial"/>
          <w:sz w:val="22"/>
          <w:szCs w:val="22"/>
        </w:rPr>
        <w:t>si un ou plusieurs des critères suivants sont remplis :</w:t>
      </w:r>
    </w:p>
    <w:p w14:paraId="6FF45E1E" w14:textId="77777777" w:rsidR="00D9663B" w:rsidRPr="00A638D5" w:rsidRDefault="00D9663B" w:rsidP="009E53CD">
      <w:pPr>
        <w:rPr>
          <w:rFonts w:ascii="Arial" w:hAnsi="Arial" w:cs="Arial"/>
          <w:sz w:val="22"/>
          <w:szCs w:val="22"/>
        </w:rPr>
      </w:pPr>
    </w:p>
    <w:p w14:paraId="0CCB88C8" w14:textId="77777777" w:rsidR="00F00C05" w:rsidRPr="00A638D5" w:rsidRDefault="0053555B" w:rsidP="009E53CD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mallCaps/>
          <w:kern w:val="28"/>
          <w:sz w:val="28"/>
        </w:rPr>
      </w:pPr>
      <w:r>
        <w:rPr>
          <w:rFonts w:ascii="Arial" w:hAnsi="Arial"/>
          <w:b/>
          <w:smallCaps/>
          <w:kern w:val="28"/>
          <w:sz w:val="28"/>
        </w:rPr>
        <w:t>Relation d’affaires :</w:t>
      </w:r>
      <w:r w:rsidR="003A15FF">
        <w:rPr>
          <w:rFonts w:ascii="Arial" w:hAnsi="Arial"/>
          <w:b/>
          <w:smallCaps/>
          <w:kern w:val="28"/>
          <w:sz w:val="28"/>
        </w:rPr>
        <w:tab/>
      </w:r>
      <w:r w:rsidR="003A15FF">
        <w:rPr>
          <w:rFonts w:ascii="Arial" w:hAnsi="Arial"/>
          <w:b/>
          <w:smallCaps/>
          <w:kern w:val="28"/>
          <w:sz w:val="28"/>
        </w:rPr>
        <w:tab/>
      </w:r>
      <w:r w:rsidR="000723F9">
        <w:rPr>
          <w:rFonts w:ascii="Arial" w:hAnsi="Arial"/>
          <w:b/>
          <w:smallCaps/>
          <w:kern w:val="28"/>
          <w:sz w:val="28"/>
        </w:rPr>
        <w:t xml:space="preserve"> _____________</w:t>
      </w:r>
      <w:r w:rsidR="003A15FF">
        <w:rPr>
          <w:rFonts w:ascii="Arial" w:hAnsi="Arial"/>
          <w:b/>
          <w:smallCaps/>
          <w:kern w:val="28"/>
          <w:sz w:val="28"/>
        </w:rPr>
        <w:t>____________</w:t>
      </w:r>
      <w:r w:rsidR="003A15FF">
        <w:rPr>
          <w:rFonts w:ascii="Arial" w:hAnsi="Arial"/>
          <w:b/>
          <w:smallCaps/>
          <w:kern w:val="28"/>
          <w:sz w:val="28"/>
        </w:rPr>
        <w:tab/>
      </w:r>
    </w:p>
    <w:p w14:paraId="774B1913" w14:textId="77777777" w:rsidR="006C6B8B" w:rsidRPr="00A638D5" w:rsidRDefault="006C6B8B" w:rsidP="009E53CD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mallCaps/>
          <w:kern w:val="28"/>
          <w:sz w:val="28"/>
        </w:rPr>
      </w:pPr>
      <w:r>
        <w:rPr>
          <w:rFonts w:ascii="Arial" w:hAnsi="Arial"/>
          <w:b/>
          <w:smallCaps/>
          <w:kern w:val="28"/>
          <w:sz w:val="28"/>
        </w:rPr>
        <w:t xml:space="preserve">Numéro </w:t>
      </w:r>
      <w:r w:rsidR="000723F9">
        <w:rPr>
          <w:rFonts w:ascii="Arial" w:hAnsi="Arial"/>
          <w:b/>
          <w:smallCaps/>
          <w:kern w:val="28"/>
          <w:sz w:val="28"/>
        </w:rPr>
        <w:t xml:space="preserve">de dossier </w:t>
      </w:r>
      <w:proofErr w:type="spellStart"/>
      <w:r w:rsidR="000723F9">
        <w:rPr>
          <w:rFonts w:ascii="Arial" w:hAnsi="Arial"/>
          <w:b/>
          <w:smallCaps/>
          <w:kern w:val="28"/>
          <w:sz w:val="28"/>
        </w:rPr>
        <w:t>lba</w:t>
      </w:r>
      <w:proofErr w:type="spellEnd"/>
      <w:r>
        <w:rPr>
          <w:rFonts w:ascii="Arial" w:hAnsi="Arial"/>
          <w:b/>
          <w:smallCaps/>
          <w:kern w:val="28"/>
          <w:sz w:val="28"/>
        </w:rPr>
        <w:t> :</w:t>
      </w:r>
      <w:r w:rsidR="003A15FF">
        <w:rPr>
          <w:rFonts w:ascii="Arial" w:hAnsi="Arial"/>
          <w:b/>
          <w:smallCaps/>
          <w:kern w:val="28"/>
          <w:sz w:val="28"/>
        </w:rPr>
        <w:tab/>
      </w:r>
      <w:r w:rsidR="000723F9">
        <w:rPr>
          <w:rFonts w:ascii="Arial" w:hAnsi="Arial"/>
          <w:b/>
          <w:smallCaps/>
          <w:kern w:val="28"/>
          <w:sz w:val="28"/>
        </w:rPr>
        <w:t xml:space="preserve"> _____________</w:t>
      </w:r>
      <w:r w:rsidR="003A15FF">
        <w:rPr>
          <w:rFonts w:ascii="Arial" w:hAnsi="Arial"/>
          <w:b/>
          <w:smallCaps/>
          <w:kern w:val="28"/>
          <w:sz w:val="28"/>
        </w:rPr>
        <w:t>____________</w:t>
      </w:r>
      <w:r w:rsidR="003A15FF">
        <w:rPr>
          <w:rFonts w:ascii="Arial" w:hAnsi="Arial"/>
          <w:b/>
          <w:smallCaps/>
          <w:kern w:val="28"/>
          <w:sz w:val="28"/>
        </w:rPr>
        <w:tab/>
      </w:r>
    </w:p>
    <w:p w14:paraId="170DE57E" w14:textId="77777777" w:rsidR="00520AA3" w:rsidRPr="00A638D5" w:rsidRDefault="00520AA3" w:rsidP="009E53CD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mallCaps/>
          <w:kern w:val="28"/>
          <w:sz w:val="28"/>
        </w:rPr>
      </w:pPr>
    </w:p>
    <w:p w14:paraId="0B29C25B" w14:textId="77777777" w:rsidR="00520AA3" w:rsidRPr="000900E6" w:rsidRDefault="00520AA3" w:rsidP="009E53CD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mallCaps/>
          <w:kern w:val="28"/>
          <w:sz w:val="28"/>
        </w:rPr>
      </w:pPr>
      <w:r>
        <w:rPr>
          <w:rFonts w:ascii="Arial" w:hAnsi="Arial"/>
          <w:b/>
          <w:smallCaps/>
          <w:kern w:val="28"/>
          <w:sz w:val="28"/>
        </w:rPr>
        <w:t>Concernant la relation d’affaires :</w:t>
      </w:r>
    </w:p>
    <w:p w14:paraId="5C11DDA5" w14:textId="77777777" w:rsidR="009E53CD" w:rsidRPr="000900E6" w:rsidRDefault="009E53CD" w:rsidP="00F00C05">
      <w:pPr>
        <w:rPr>
          <w:rFonts w:ascii="Arial" w:hAnsi="Arial" w:cs="Arial"/>
          <w:sz w:val="22"/>
          <w:szCs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1620"/>
      </w:tblGrid>
      <w:tr w:rsidR="007212C5" w:rsidRPr="000A17A8" w14:paraId="1B8729C3" w14:textId="77777777" w:rsidTr="008E55A6">
        <w:tc>
          <w:tcPr>
            <w:tcW w:w="7920" w:type="dxa"/>
          </w:tcPr>
          <w:p w14:paraId="3470F2CF" w14:textId="77777777" w:rsidR="007212C5" w:rsidRPr="00737D45" w:rsidRDefault="00737D45" w:rsidP="007212C5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7D45">
              <w:rPr>
                <w:rFonts w:ascii="Arial" w:hAnsi="Arial" w:cs="Arial"/>
                <w:b/>
                <w:sz w:val="22"/>
                <w:szCs w:val="22"/>
              </w:rPr>
              <w:t>Risque obligatoirement accru</w:t>
            </w:r>
          </w:p>
        </w:tc>
        <w:tc>
          <w:tcPr>
            <w:tcW w:w="1620" w:type="dxa"/>
            <w:vAlign w:val="bottom"/>
          </w:tcPr>
          <w:p w14:paraId="6C1FD04E" w14:textId="77777777" w:rsidR="007212C5" w:rsidRDefault="007212C5" w:rsidP="00BA1A94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6C6B8B" w:rsidRPr="000A17A8" w14:paraId="37A27A8C" w14:textId="77777777" w:rsidTr="008E55A6">
        <w:tc>
          <w:tcPr>
            <w:tcW w:w="7920" w:type="dxa"/>
          </w:tcPr>
          <w:p w14:paraId="2B59E732" w14:textId="4D773EB2" w:rsidR="006C6B8B" w:rsidRPr="00A638D5" w:rsidRDefault="00DF0D90" w:rsidP="00B13872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rPr>
                <w:rFonts w:ascii="Arial" w:hAnsi="Arial" w:cs="Arial"/>
                <w:sz w:val="22"/>
                <w:szCs w:val="22"/>
              </w:rPr>
            </w:pPr>
            <w:bookmarkStart w:id="0" w:name="_Ref132205126"/>
            <w:r>
              <w:rPr>
                <w:rFonts w:ascii="Arial" w:hAnsi="Arial" w:cs="Arial"/>
                <w:sz w:val="22"/>
                <w:szCs w:val="22"/>
              </w:rPr>
              <w:t>Le CC/ADE/DC</w:t>
            </w:r>
            <w:r w:rsidR="0048735F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2"/>
            </w:r>
            <w:r>
              <w:rPr>
                <w:rFonts w:ascii="Arial" w:hAnsi="Arial" w:cs="Arial"/>
                <w:sz w:val="22"/>
                <w:szCs w:val="22"/>
              </w:rPr>
              <w:t>/fondé de procuration est une PEP</w:t>
            </w:r>
            <w:r w:rsidR="0048735F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16A6">
              <w:rPr>
                <w:rFonts w:ascii="Arial" w:hAnsi="Arial" w:cs="Arial"/>
                <w:sz w:val="22"/>
                <w:szCs w:val="22"/>
              </w:rPr>
              <w:t>étrangère ou une personne qui lui est proche</w:t>
            </w:r>
            <w:bookmarkEnd w:id="0"/>
            <w:r w:rsidR="004311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bottom"/>
          </w:tcPr>
          <w:p w14:paraId="33073C56" w14:textId="77777777" w:rsidR="006C6B8B" w:rsidRPr="000A17A8" w:rsidRDefault="006C6B8B" w:rsidP="00BA1A94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lang w:val="de-CH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oui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□     non □</w:t>
            </w:r>
          </w:p>
        </w:tc>
      </w:tr>
      <w:tr w:rsidR="0048735F" w:rsidRPr="000A17A8" w14:paraId="759FF835" w14:textId="77777777" w:rsidTr="008E55A6">
        <w:tc>
          <w:tcPr>
            <w:tcW w:w="7920" w:type="dxa"/>
          </w:tcPr>
          <w:p w14:paraId="680D969A" w14:textId="5FAC65B5" w:rsidR="0048735F" w:rsidRDefault="0048735F" w:rsidP="00B13872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CC/ADE/DC/fondé de procuration est une PEP suisse ou une personne qui lui est proche en combinaison avec un critère de risque supplémentaire</w:t>
            </w:r>
            <w:r w:rsidR="004311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bottom"/>
          </w:tcPr>
          <w:p w14:paraId="6C578BED" w14:textId="6EF46EF2" w:rsidR="0048735F" w:rsidRDefault="0048735F" w:rsidP="00BA1A94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oui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□     non □</w:t>
            </w:r>
          </w:p>
        </w:tc>
      </w:tr>
      <w:tr w:rsidR="00F96BC9" w14:paraId="5FEC89BF" w14:textId="77777777" w:rsidTr="00FA5B5A">
        <w:tc>
          <w:tcPr>
            <w:tcW w:w="7920" w:type="dxa"/>
          </w:tcPr>
          <w:p w14:paraId="6F441563" w14:textId="4DE15F63" w:rsidR="00F96BC9" w:rsidRDefault="00F96BC9" w:rsidP="00FA5B5A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CC/ADE/DC/fondé de procuration est une PEP</w:t>
            </w:r>
            <w:r w:rsidR="0048735F">
              <w:rPr>
                <w:rFonts w:ascii="Arial" w:hAnsi="Arial" w:cs="Arial"/>
                <w:sz w:val="22"/>
                <w:szCs w:val="22"/>
              </w:rPr>
              <w:t xml:space="preserve"> suisse ou une personne qui lui est proche</w:t>
            </w:r>
            <w:r>
              <w:rPr>
                <w:rFonts w:ascii="Arial" w:hAnsi="Arial" w:cs="Arial"/>
                <w:sz w:val="22"/>
                <w:szCs w:val="22"/>
              </w:rPr>
              <w:t xml:space="preserve"> exerçant une fonction dirigeante au sein d’une organisation intergouvernementale </w:t>
            </w:r>
            <w:r w:rsidR="0048735F">
              <w:rPr>
                <w:rFonts w:ascii="Arial" w:hAnsi="Arial" w:cs="Arial"/>
                <w:sz w:val="22"/>
                <w:szCs w:val="22"/>
              </w:rPr>
              <w:t>en combinaison avec un critère de risque supplémentaire</w:t>
            </w:r>
            <w:r w:rsidR="004311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bottom"/>
          </w:tcPr>
          <w:p w14:paraId="21F57093" w14:textId="77777777" w:rsidR="00F96BC9" w:rsidRDefault="00F96BC9" w:rsidP="00B1387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□     non □</w:t>
            </w:r>
          </w:p>
        </w:tc>
      </w:tr>
      <w:tr w:rsidR="00F96BC9" w14:paraId="5B8F2D88" w14:textId="77777777" w:rsidTr="00FA5B5A">
        <w:tc>
          <w:tcPr>
            <w:tcW w:w="7920" w:type="dxa"/>
          </w:tcPr>
          <w:p w14:paraId="106D5622" w14:textId="34F199B5" w:rsidR="00F96BC9" w:rsidRDefault="00F96BC9" w:rsidP="00FA5B5A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CC/ADE/DC/fondé de procuration est une PEP</w:t>
            </w:r>
            <w:r w:rsidR="00113AB9">
              <w:rPr>
                <w:rFonts w:ascii="Arial" w:hAnsi="Arial" w:cs="Arial"/>
                <w:sz w:val="22"/>
                <w:szCs w:val="22"/>
              </w:rPr>
              <w:t xml:space="preserve"> suisse ou une personne qui lui est proche</w:t>
            </w:r>
            <w:r>
              <w:rPr>
                <w:rFonts w:ascii="Arial" w:hAnsi="Arial" w:cs="Arial"/>
                <w:sz w:val="22"/>
                <w:szCs w:val="22"/>
              </w:rPr>
              <w:t xml:space="preserve"> exerçant une fonction dirigeante au sein d’une fédération sportive internationale </w:t>
            </w:r>
            <w:r w:rsidR="00113AB9">
              <w:rPr>
                <w:rFonts w:ascii="Arial" w:hAnsi="Arial" w:cs="Arial"/>
                <w:sz w:val="22"/>
                <w:szCs w:val="22"/>
              </w:rPr>
              <w:t>en combinaison avec un critère de risque supplémentaire</w:t>
            </w:r>
            <w:r w:rsidR="004311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bottom"/>
          </w:tcPr>
          <w:p w14:paraId="4D8DFF7D" w14:textId="77777777" w:rsidR="00F96BC9" w:rsidRDefault="00F96BC9" w:rsidP="00B13872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□     non □</w:t>
            </w:r>
          </w:p>
        </w:tc>
      </w:tr>
      <w:tr w:rsidR="00722DE9" w:rsidRPr="008E55A6" w14:paraId="090A87DC" w14:textId="77777777" w:rsidTr="008E55A6">
        <w:tc>
          <w:tcPr>
            <w:tcW w:w="7920" w:type="dxa"/>
          </w:tcPr>
          <w:p w14:paraId="1ED2B36B" w14:textId="742C2A52" w:rsidR="00722DE9" w:rsidRPr="000900E6" w:rsidRDefault="00722DE9" w:rsidP="00722DE9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CC/ADE/DC/fondé de procuration </w:t>
            </w:r>
            <w:r w:rsidR="00BD0D19">
              <w:rPr>
                <w:rFonts w:ascii="Arial" w:hAnsi="Arial" w:cs="Arial"/>
                <w:sz w:val="22"/>
                <w:szCs w:val="22"/>
              </w:rPr>
              <w:t xml:space="preserve">est domicilié </w:t>
            </w:r>
            <w:r>
              <w:rPr>
                <w:rFonts w:ascii="Arial" w:hAnsi="Arial" w:cs="Arial"/>
                <w:sz w:val="22"/>
                <w:szCs w:val="22"/>
              </w:rPr>
              <w:t xml:space="preserve">dans un pays considéré comme « high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risk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 »</w:t>
            </w:r>
            <w:r w:rsidR="00BD0D19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4"/>
            </w:r>
            <w:r>
              <w:rPr>
                <w:rFonts w:ascii="Arial" w:hAnsi="Arial" w:cs="Arial"/>
                <w:sz w:val="22"/>
                <w:szCs w:val="22"/>
              </w:rPr>
              <w:t xml:space="preserve"> ou non coopératif</w:t>
            </w:r>
            <w:r w:rsidR="00BD0D19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5"/>
            </w:r>
            <w:r>
              <w:rPr>
                <w:rFonts w:ascii="Arial" w:hAnsi="Arial" w:cs="Arial"/>
                <w:sz w:val="22"/>
                <w:szCs w:val="22"/>
              </w:rPr>
              <w:t xml:space="preserve"> par le</w:t>
            </w:r>
            <w:r w:rsidR="00BD0D19">
              <w:rPr>
                <w:rFonts w:ascii="Arial" w:hAnsi="Arial" w:cs="Arial"/>
                <w:sz w:val="22"/>
                <w:szCs w:val="22"/>
              </w:rPr>
              <w:t xml:space="preserve"> Groupe d’action financière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0D1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GAFI</w:t>
            </w:r>
            <w:r w:rsidR="00BD0D19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et pour lequel ce dernier appelle</w:t>
            </w:r>
            <w:r w:rsidR="00BD0D19">
              <w:rPr>
                <w:rFonts w:ascii="Arial" w:hAnsi="Arial" w:cs="Arial"/>
                <w:sz w:val="22"/>
                <w:szCs w:val="22"/>
              </w:rPr>
              <w:t xml:space="preserve"> en </w:t>
            </w:r>
            <w:r w:rsidR="00AA7727">
              <w:rPr>
                <w:rFonts w:ascii="Arial" w:hAnsi="Arial" w:cs="Arial"/>
                <w:sz w:val="22"/>
                <w:szCs w:val="22"/>
              </w:rPr>
              <w:t>outre</w:t>
            </w:r>
            <w:r>
              <w:rPr>
                <w:rFonts w:ascii="Arial" w:hAnsi="Arial" w:cs="Arial"/>
                <w:sz w:val="22"/>
                <w:szCs w:val="22"/>
              </w:rPr>
              <w:t xml:space="preserve"> à une diligence augmentée</w:t>
            </w:r>
            <w:r w:rsidR="0043114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1439D0C3" w14:textId="77777777" w:rsidR="00722DE9" w:rsidRDefault="00722DE9" w:rsidP="00722DE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□     non □</w:t>
            </w:r>
          </w:p>
        </w:tc>
      </w:tr>
      <w:tr w:rsidR="00722DE9" w:rsidRPr="008E55A6" w14:paraId="732C307B" w14:textId="77777777" w:rsidTr="008E55A6">
        <w:tc>
          <w:tcPr>
            <w:tcW w:w="7920" w:type="dxa"/>
          </w:tcPr>
          <w:p w14:paraId="740AAD2E" w14:textId="77777777" w:rsidR="00722DE9" w:rsidRPr="00737D45" w:rsidRDefault="00722DE9" w:rsidP="00722DE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7D45">
              <w:rPr>
                <w:rFonts w:ascii="Arial" w:hAnsi="Arial" w:cs="Arial"/>
                <w:b/>
                <w:sz w:val="22"/>
                <w:szCs w:val="22"/>
              </w:rPr>
              <w:t>Autres critères de risque élevé</w:t>
            </w:r>
          </w:p>
        </w:tc>
        <w:tc>
          <w:tcPr>
            <w:tcW w:w="1620" w:type="dxa"/>
            <w:vAlign w:val="bottom"/>
          </w:tcPr>
          <w:p w14:paraId="58A2A8A2" w14:textId="77777777" w:rsidR="00722DE9" w:rsidRDefault="00722DE9" w:rsidP="00722DE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D19" w:rsidRPr="008E55A6" w14:paraId="5D0A56ED" w14:textId="77777777" w:rsidTr="008E55A6">
        <w:tc>
          <w:tcPr>
            <w:tcW w:w="7920" w:type="dxa"/>
          </w:tcPr>
          <w:p w14:paraId="6DAD963B" w14:textId="353D4502" w:rsidR="00BD0D19" w:rsidRDefault="00BD0D19" w:rsidP="00722DE9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CC/ADE/DC a son siège ou son domicile dans un pays considéré comme « high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risk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 »</w:t>
            </w:r>
            <w:r w:rsidR="000C416C" w:rsidRPr="000C416C">
              <w:rPr>
                <w:rFonts w:ascii="Arial" w:hAnsi="Arial" w:cs="Arial"/>
                <w:sz w:val="22"/>
                <w:szCs w:val="22"/>
                <w:vertAlign w:val="superscript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ou non coopératif</w:t>
            </w:r>
            <w:r w:rsidR="000C416C" w:rsidRPr="000C416C">
              <w:rPr>
                <w:rFonts w:ascii="Arial" w:hAnsi="Arial" w:cs="Arial"/>
                <w:sz w:val="22"/>
                <w:szCs w:val="22"/>
                <w:vertAlign w:val="superscript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par le GAFI.</w:t>
            </w:r>
          </w:p>
        </w:tc>
        <w:tc>
          <w:tcPr>
            <w:tcW w:w="1620" w:type="dxa"/>
            <w:vAlign w:val="bottom"/>
          </w:tcPr>
          <w:p w14:paraId="37694860" w14:textId="1608F11A" w:rsidR="00BD0D19" w:rsidRDefault="00BD0D19" w:rsidP="00722DE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□     non □</w:t>
            </w:r>
          </w:p>
        </w:tc>
      </w:tr>
      <w:tr w:rsidR="00722DE9" w:rsidRPr="008E55A6" w14:paraId="42BDA3E3" w14:textId="77777777" w:rsidTr="008E55A6">
        <w:tc>
          <w:tcPr>
            <w:tcW w:w="7920" w:type="dxa"/>
          </w:tcPr>
          <w:p w14:paraId="014CD287" w14:textId="7F0A3C1E" w:rsidR="00722DE9" w:rsidRDefault="00722DE9" w:rsidP="00722DE9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CC/ADE/DC a son siège ou son domicile dans un pays à risque selon le chiffre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...&gt;"/>
                  </w:textInput>
                </w:ffData>
              </w:fldChar>
            </w:r>
            <w:r w:rsidRPr="00A638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&lt;...&gt;</w:t>
            </w:r>
            <w:r>
              <w:fldChar w:fldCharType="end"/>
            </w:r>
            <w:r w:rsidR="00ED2E2E" w:rsidRPr="00264AFD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6"/>
            </w:r>
            <w:r>
              <w:rPr>
                <w:rFonts w:ascii="Arial" w:hAnsi="Arial" w:cs="Arial"/>
                <w:sz w:val="22"/>
                <w:szCs w:val="22"/>
              </w:rPr>
              <w:t xml:space="preserve"> des directives internes</w:t>
            </w:r>
            <w:r w:rsidR="004311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bottom"/>
          </w:tcPr>
          <w:p w14:paraId="7B35319F" w14:textId="77777777" w:rsidR="00722DE9" w:rsidRDefault="00722DE9" w:rsidP="00722DE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□     non □</w:t>
            </w:r>
          </w:p>
        </w:tc>
      </w:tr>
      <w:tr w:rsidR="00722DE9" w:rsidRPr="008E55A6" w14:paraId="6033437F" w14:textId="77777777" w:rsidTr="008E55A6">
        <w:tc>
          <w:tcPr>
            <w:tcW w:w="7920" w:type="dxa"/>
          </w:tcPr>
          <w:p w14:paraId="00451BE7" w14:textId="0CFDEC6D" w:rsidR="00722DE9" w:rsidRDefault="00722DE9" w:rsidP="00722DE9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E74371">
              <w:rPr>
                <w:rFonts w:ascii="Arial" w:hAnsi="Arial" w:cs="Arial"/>
                <w:sz w:val="22"/>
                <w:szCs w:val="22"/>
              </w:rPr>
              <w:t xml:space="preserve">ationalité du </w:t>
            </w:r>
            <w:r>
              <w:rPr>
                <w:rFonts w:ascii="Arial" w:hAnsi="Arial" w:cs="Arial"/>
                <w:sz w:val="22"/>
                <w:szCs w:val="22"/>
              </w:rPr>
              <w:t>CC</w:t>
            </w:r>
            <w:r w:rsidRPr="00E74371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ADE</w:t>
            </w:r>
            <w:r w:rsidRPr="00E74371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DC</w:t>
            </w:r>
            <w:r w:rsidRPr="00E74371">
              <w:rPr>
                <w:rFonts w:ascii="Arial" w:hAnsi="Arial" w:cs="Arial"/>
                <w:sz w:val="22"/>
                <w:szCs w:val="22"/>
              </w:rPr>
              <w:t xml:space="preserve"> ou </w:t>
            </w:r>
            <w:r w:rsidR="00BE44A4">
              <w:rPr>
                <w:rFonts w:ascii="Arial" w:hAnsi="Arial" w:cs="Arial"/>
                <w:sz w:val="22"/>
                <w:szCs w:val="22"/>
              </w:rPr>
              <w:t>du fondé de procuration</w:t>
            </w:r>
            <w:r w:rsidRPr="00E74371">
              <w:rPr>
                <w:rFonts w:ascii="Arial" w:hAnsi="Arial" w:cs="Arial"/>
                <w:sz w:val="22"/>
                <w:szCs w:val="22"/>
              </w:rPr>
              <w:t xml:space="preserve"> d'un pays considéré comme </w:t>
            </w:r>
            <w:r>
              <w:rPr>
                <w:rFonts w:ascii="Arial" w:hAnsi="Arial" w:cs="Arial"/>
                <w:sz w:val="22"/>
                <w:szCs w:val="22"/>
              </w:rPr>
              <w:t>« </w:t>
            </w:r>
            <w:r w:rsidRPr="00E74371">
              <w:rPr>
                <w:rFonts w:ascii="Arial" w:hAnsi="Arial" w:cs="Arial"/>
                <w:sz w:val="22"/>
                <w:szCs w:val="22"/>
              </w:rPr>
              <w:t>à haut risque</w:t>
            </w:r>
            <w:r>
              <w:rPr>
                <w:rFonts w:ascii="Arial" w:hAnsi="Arial" w:cs="Arial"/>
                <w:sz w:val="22"/>
                <w:szCs w:val="22"/>
              </w:rPr>
              <w:t> »</w:t>
            </w:r>
            <w:r w:rsidR="000C416C" w:rsidRPr="000C416C">
              <w:rPr>
                <w:rFonts w:ascii="Arial" w:hAnsi="Arial" w:cs="Arial"/>
                <w:sz w:val="22"/>
                <w:szCs w:val="22"/>
                <w:vertAlign w:val="superscript"/>
              </w:rPr>
              <w:t>7</w:t>
            </w:r>
            <w:r w:rsidRPr="00E74371">
              <w:rPr>
                <w:rFonts w:ascii="Arial" w:hAnsi="Arial" w:cs="Arial"/>
                <w:sz w:val="22"/>
                <w:szCs w:val="22"/>
              </w:rPr>
              <w:t xml:space="preserve"> ou non coopératif</w:t>
            </w:r>
            <w:r w:rsidR="000C416C" w:rsidRPr="000C416C">
              <w:rPr>
                <w:rFonts w:ascii="Arial" w:hAnsi="Arial" w:cs="Arial"/>
                <w:sz w:val="22"/>
                <w:szCs w:val="22"/>
                <w:vertAlign w:val="superscript"/>
              </w:rPr>
              <w:t>8</w:t>
            </w:r>
            <w:r w:rsidRPr="00E74371">
              <w:rPr>
                <w:rFonts w:ascii="Arial" w:hAnsi="Arial" w:cs="Arial"/>
                <w:sz w:val="22"/>
                <w:szCs w:val="22"/>
              </w:rPr>
              <w:t xml:space="preserve"> par le GAFI</w:t>
            </w:r>
            <w:r w:rsidR="004311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bottom"/>
          </w:tcPr>
          <w:p w14:paraId="764C17A0" w14:textId="77777777" w:rsidR="00722DE9" w:rsidRDefault="00722DE9" w:rsidP="00722DE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□     non □</w:t>
            </w:r>
          </w:p>
        </w:tc>
      </w:tr>
      <w:tr w:rsidR="00722DE9" w:rsidRPr="008E55A6" w14:paraId="2836CAE2" w14:textId="77777777" w:rsidTr="008E55A6">
        <w:tc>
          <w:tcPr>
            <w:tcW w:w="7920" w:type="dxa"/>
          </w:tcPr>
          <w:p w14:paraId="29B1366E" w14:textId="3BF6193F" w:rsidR="00722DE9" w:rsidRPr="000900E6" w:rsidRDefault="00722DE9" w:rsidP="00722DE9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Nationalité du CC/ADE/DC/fondé de procuration d’un pays à risque selon le chiffre selon le chiffre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...&gt;"/>
                  </w:textInput>
                </w:ffData>
              </w:fldChar>
            </w:r>
            <w:r w:rsidRPr="00A638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&lt;...&gt;</w:t>
            </w:r>
            <w:r>
              <w:fldChar w:fldCharType="end"/>
            </w:r>
            <w:r w:rsidR="000C416C" w:rsidRPr="000C416C">
              <w:rPr>
                <w:rFonts w:ascii="Arial" w:hAnsi="Arial" w:cs="Arial"/>
                <w:sz w:val="22"/>
                <w:szCs w:val="22"/>
                <w:vertAlign w:val="superscript"/>
              </w:rPr>
              <w:t>9</w:t>
            </w:r>
            <w:r w:rsidR="000C416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des directives internes</w:t>
            </w:r>
            <w:r w:rsidR="004311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bottom"/>
          </w:tcPr>
          <w:p w14:paraId="0E81E4E4" w14:textId="77777777" w:rsidR="00722DE9" w:rsidRDefault="00722DE9" w:rsidP="00722DE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□     non □</w:t>
            </w:r>
          </w:p>
        </w:tc>
      </w:tr>
      <w:tr w:rsidR="00722DE9" w:rsidRPr="008E55A6" w14:paraId="329C69A2" w14:textId="77777777" w:rsidTr="008E55A6">
        <w:tc>
          <w:tcPr>
            <w:tcW w:w="7920" w:type="dxa"/>
          </w:tcPr>
          <w:p w14:paraId="59120196" w14:textId="187D75F9" w:rsidR="00722DE9" w:rsidRDefault="00BD0D19" w:rsidP="00722DE9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722DE9" w:rsidRPr="00E74371">
              <w:rPr>
                <w:rFonts w:ascii="Arial" w:hAnsi="Arial" w:cs="Arial"/>
                <w:sz w:val="22"/>
                <w:szCs w:val="22"/>
              </w:rPr>
              <w:t xml:space="preserve">ature et lieu des activités de la </w:t>
            </w:r>
            <w:r w:rsidR="00722DE9">
              <w:rPr>
                <w:rFonts w:ascii="Arial" w:hAnsi="Arial" w:cs="Arial"/>
                <w:sz w:val="22"/>
                <w:szCs w:val="22"/>
              </w:rPr>
              <w:t>CC</w:t>
            </w:r>
            <w:r w:rsidR="00722DE9" w:rsidRPr="00E74371">
              <w:rPr>
                <w:rFonts w:ascii="Arial" w:hAnsi="Arial" w:cs="Arial"/>
                <w:sz w:val="22"/>
                <w:szCs w:val="22"/>
              </w:rPr>
              <w:t>/</w:t>
            </w:r>
            <w:r w:rsidR="00722DE9">
              <w:rPr>
                <w:rFonts w:ascii="Arial" w:hAnsi="Arial" w:cs="Arial"/>
                <w:sz w:val="22"/>
                <w:szCs w:val="22"/>
              </w:rPr>
              <w:t>ADE</w:t>
            </w:r>
            <w:r w:rsidR="00F63F7F">
              <w:rPr>
                <w:rFonts w:ascii="Arial" w:hAnsi="Arial" w:cs="Arial"/>
                <w:sz w:val="22"/>
                <w:szCs w:val="22"/>
              </w:rPr>
              <w:t>/DC/fondé de procuration</w:t>
            </w:r>
            <w:r w:rsidR="00F63F7F" w:rsidRPr="00E743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2DE9" w:rsidRPr="00E74371">
              <w:rPr>
                <w:rFonts w:ascii="Arial" w:hAnsi="Arial" w:cs="Arial"/>
                <w:sz w:val="22"/>
                <w:szCs w:val="22"/>
              </w:rPr>
              <w:t xml:space="preserve">dans un pays considéré comme </w:t>
            </w:r>
            <w:r w:rsidR="00722DE9">
              <w:rPr>
                <w:rFonts w:ascii="Arial" w:hAnsi="Arial" w:cs="Arial"/>
                <w:sz w:val="22"/>
                <w:szCs w:val="22"/>
              </w:rPr>
              <w:t>« </w:t>
            </w:r>
            <w:r w:rsidR="00722DE9" w:rsidRPr="00E74371">
              <w:rPr>
                <w:rFonts w:ascii="Arial" w:hAnsi="Arial" w:cs="Arial"/>
                <w:sz w:val="22"/>
                <w:szCs w:val="22"/>
              </w:rPr>
              <w:t>à haut risque</w:t>
            </w:r>
            <w:r w:rsidR="00722DE9">
              <w:rPr>
                <w:rFonts w:ascii="Arial" w:hAnsi="Arial" w:cs="Arial"/>
                <w:sz w:val="22"/>
                <w:szCs w:val="22"/>
              </w:rPr>
              <w:t xml:space="preserve"> » </w:t>
            </w:r>
            <w:r w:rsidR="00722DE9" w:rsidRPr="00E74371">
              <w:rPr>
                <w:rFonts w:ascii="Arial" w:hAnsi="Arial" w:cs="Arial"/>
                <w:sz w:val="22"/>
                <w:szCs w:val="22"/>
              </w:rPr>
              <w:t>ou non coopératif par le GAFI</w:t>
            </w:r>
            <w:r w:rsidR="00431145">
              <w:rPr>
                <w:rFonts w:ascii="Arial" w:hAnsi="Arial" w:cs="Arial"/>
                <w:sz w:val="22"/>
                <w:szCs w:val="22"/>
              </w:rPr>
              <w:t>.</w:t>
            </w:r>
            <w:r w:rsidR="00722D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22D3CE41" w14:textId="77777777" w:rsidR="00722DE9" w:rsidRDefault="00722DE9" w:rsidP="00722DE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□     non □</w:t>
            </w:r>
          </w:p>
        </w:tc>
      </w:tr>
      <w:tr w:rsidR="00722DE9" w:rsidRPr="008E55A6" w14:paraId="07260487" w14:textId="77777777" w:rsidTr="008E55A6">
        <w:tc>
          <w:tcPr>
            <w:tcW w:w="7920" w:type="dxa"/>
          </w:tcPr>
          <w:p w14:paraId="358D3369" w14:textId="6CE7333C" w:rsidR="00722DE9" w:rsidRPr="007212C5" w:rsidRDefault="00BD0D19" w:rsidP="00722DE9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722DE9">
              <w:rPr>
                <w:rFonts w:ascii="Arial" w:hAnsi="Arial" w:cs="Arial"/>
                <w:sz w:val="22"/>
                <w:szCs w:val="22"/>
              </w:rPr>
              <w:t>ature</w:t>
            </w:r>
            <w:r>
              <w:rPr>
                <w:rFonts w:ascii="Arial" w:hAnsi="Arial" w:cs="Arial"/>
                <w:sz w:val="22"/>
                <w:szCs w:val="22"/>
              </w:rPr>
              <w:t xml:space="preserve"> et lieu</w:t>
            </w:r>
            <w:r w:rsidR="00722DE9">
              <w:rPr>
                <w:rFonts w:ascii="Arial" w:hAnsi="Arial" w:cs="Arial"/>
                <w:sz w:val="22"/>
                <w:szCs w:val="22"/>
              </w:rPr>
              <w:t xml:space="preserve"> de l’activité économique du CC/ADE/</w:t>
            </w:r>
            <w:r w:rsidR="00F63F7F">
              <w:rPr>
                <w:rFonts w:ascii="Arial" w:hAnsi="Arial" w:cs="Arial"/>
                <w:sz w:val="22"/>
                <w:szCs w:val="22"/>
              </w:rPr>
              <w:t>DC/</w:t>
            </w:r>
            <w:r w:rsidR="00722DE9">
              <w:rPr>
                <w:rFonts w:ascii="Arial" w:hAnsi="Arial" w:cs="Arial"/>
                <w:sz w:val="22"/>
                <w:szCs w:val="22"/>
              </w:rPr>
              <w:t xml:space="preserve">fondé de procuration </w:t>
            </w:r>
            <w:r>
              <w:rPr>
                <w:rFonts w:ascii="Arial" w:hAnsi="Arial" w:cs="Arial"/>
                <w:sz w:val="22"/>
                <w:szCs w:val="22"/>
              </w:rPr>
              <w:t>dans un pays à risque</w:t>
            </w:r>
            <w:r w:rsidR="00722DE9">
              <w:rPr>
                <w:rFonts w:ascii="Arial" w:hAnsi="Arial" w:cs="Arial"/>
                <w:sz w:val="22"/>
                <w:szCs w:val="22"/>
              </w:rPr>
              <w:t xml:space="preserve"> selon le chiffre </w:t>
            </w:r>
            <w:r w:rsidR="00722D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...&gt;"/>
                  </w:textInput>
                </w:ffData>
              </w:fldChar>
            </w:r>
            <w:r w:rsidR="00722DE9" w:rsidRPr="00A638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22DE9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722DE9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722DE9">
              <w:rPr>
                <w:rFonts w:ascii="Arial" w:hAnsi="Arial" w:cs="Arial"/>
                <w:sz w:val="22"/>
                <w:szCs w:val="22"/>
              </w:rPr>
              <w:t>&lt;...&gt;</w:t>
            </w:r>
            <w:r w:rsidR="00722DE9">
              <w:fldChar w:fldCharType="end"/>
            </w:r>
            <w:r w:rsidR="00722D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6C" w:rsidRPr="000C416C">
              <w:rPr>
                <w:rFonts w:ascii="Arial" w:hAnsi="Arial" w:cs="Arial"/>
                <w:sz w:val="22"/>
                <w:szCs w:val="22"/>
                <w:vertAlign w:val="superscript"/>
              </w:rPr>
              <w:t>9</w:t>
            </w:r>
            <w:r w:rsidR="00722DE9">
              <w:rPr>
                <w:rFonts w:ascii="Arial" w:hAnsi="Arial" w:cs="Arial"/>
                <w:sz w:val="22"/>
                <w:szCs w:val="22"/>
              </w:rPr>
              <w:t>des directives internes</w:t>
            </w:r>
            <w:r w:rsidR="00431145">
              <w:rPr>
                <w:rFonts w:ascii="Arial" w:hAnsi="Arial" w:cs="Arial"/>
                <w:sz w:val="22"/>
                <w:szCs w:val="22"/>
              </w:rPr>
              <w:t>.</w:t>
            </w:r>
            <w:r w:rsidR="00722D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04FA0888" w14:textId="77777777" w:rsidR="00722DE9" w:rsidRPr="008E55A6" w:rsidRDefault="00722DE9" w:rsidP="00722DE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□     non □</w:t>
            </w:r>
          </w:p>
        </w:tc>
      </w:tr>
      <w:tr w:rsidR="00722DE9" w:rsidRPr="008E55A6" w14:paraId="7E29B0B1" w14:textId="77777777" w:rsidTr="008E55A6">
        <w:tc>
          <w:tcPr>
            <w:tcW w:w="7920" w:type="dxa"/>
          </w:tcPr>
          <w:p w14:paraId="58886E95" w14:textId="4C0D45D3" w:rsidR="00722DE9" w:rsidRPr="00A638D5" w:rsidRDefault="00BD0D19" w:rsidP="00722DE9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Provenance ou destination de </w:t>
            </w:r>
            <w:r w:rsidR="009D2001">
              <w:rPr>
                <w:rFonts w:ascii="Arial" w:hAnsi="Arial" w:cs="Arial"/>
                <w:sz w:val="22"/>
                <w:szCs w:val="22"/>
              </w:rPr>
              <w:t>paiements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fréquents d’un ou vers un pays considéré comme « high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risk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 »</w:t>
            </w:r>
            <w:r w:rsidR="000C416C" w:rsidRPr="000C416C">
              <w:rPr>
                <w:rFonts w:ascii="Arial" w:hAnsi="Arial" w:cs="Arial"/>
                <w:sz w:val="22"/>
                <w:szCs w:val="22"/>
                <w:vertAlign w:val="superscript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ou non coopératif</w:t>
            </w:r>
            <w:r w:rsidR="000C416C" w:rsidRPr="000C416C">
              <w:rPr>
                <w:rFonts w:ascii="Arial" w:hAnsi="Arial" w:cs="Arial"/>
                <w:sz w:val="22"/>
                <w:szCs w:val="22"/>
                <w:vertAlign w:val="superscript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par le GAFI</w:t>
            </w:r>
            <w:r w:rsidR="004311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bottom"/>
          </w:tcPr>
          <w:p w14:paraId="0507252C" w14:textId="77777777" w:rsidR="00722DE9" w:rsidRPr="008E55A6" w:rsidRDefault="00722DE9" w:rsidP="00722DE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□     non □</w:t>
            </w:r>
          </w:p>
        </w:tc>
      </w:tr>
      <w:tr w:rsidR="00722DE9" w:rsidRPr="008E55A6" w14:paraId="3FB1C9F1" w14:textId="77777777" w:rsidTr="008E55A6">
        <w:tc>
          <w:tcPr>
            <w:tcW w:w="7920" w:type="dxa"/>
          </w:tcPr>
          <w:p w14:paraId="206C80D8" w14:textId="7D10F057" w:rsidR="00722DE9" w:rsidRPr="000900E6" w:rsidRDefault="00BD0D19" w:rsidP="00722DE9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Provenance ou destination de </w:t>
            </w:r>
            <w:r w:rsidR="009D2001">
              <w:rPr>
                <w:rFonts w:ascii="Arial" w:hAnsi="Arial" w:cs="Arial"/>
                <w:sz w:val="22"/>
                <w:szCs w:val="22"/>
              </w:rPr>
              <w:t>paiements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fréquents d’un ou vers </w:t>
            </w:r>
            <w:r w:rsidR="00722DE9">
              <w:rPr>
                <w:rFonts w:ascii="Arial" w:hAnsi="Arial" w:cs="Arial"/>
                <w:sz w:val="22"/>
                <w:szCs w:val="22"/>
              </w:rPr>
              <w:t xml:space="preserve">un pays à risque selon le chiffre </w:t>
            </w:r>
            <w:r w:rsidR="00722D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...&gt;"/>
                  </w:textInput>
                </w:ffData>
              </w:fldChar>
            </w:r>
            <w:r w:rsidR="00722DE9" w:rsidRPr="00A638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22DE9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722DE9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722DE9">
              <w:rPr>
                <w:rFonts w:ascii="Arial" w:hAnsi="Arial" w:cs="Arial"/>
                <w:sz w:val="22"/>
                <w:szCs w:val="22"/>
              </w:rPr>
              <w:t>&lt;...&gt;</w:t>
            </w:r>
            <w:r w:rsidR="00722DE9">
              <w:fldChar w:fldCharType="end"/>
            </w:r>
            <w:r w:rsidR="000C416C" w:rsidRPr="000C416C">
              <w:rPr>
                <w:rFonts w:ascii="Arial" w:hAnsi="Arial" w:cs="Arial"/>
                <w:vertAlign w:val="superscript"/>
              </w:rPr>
              <w:t>9</w:t>
            </w:r>
            <w:r w:rsidR="00722DE9">
              <w:rPr>
                <w:rFonts w:ascii="Arial" w:hAnsi="Arial" w:cs="Arial"/>
                <w:sz w:val="22"/>
                <w:szCs w:val="22"/>
              </w:rPr>
              <w:t xml:space="preserve"> des directives internes</w:t>
            </w:r>
            <w:r w:rsidR="004311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bottom"/>
          </w:tcPr>
          <w:p w14:paraId="7D97B2C2" w14:textId="77777777" w:rsidR="00722DE9" w:rsidRPr="008E55A6" w:rsidRDefault="00722DE9" w:rsidP="00722DE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□     non □</w:t>
            </w:r>
          </w:p>
        </w:tc>
      </w:tr>
      <w:tr w:rsidR="00BD0D19" w:rsidRPr="008E55A6" w14:paraId="348A4081" w14:textId="77777777" w:rsidTr="008E55A6">
        <w:tc>
          <w:tcPr>
            <w:tcW w:w="7920" w:type="dxa"/>
          </w:tcPr>
          <w:p w14:paraId="12C5FB09" w14:textId="602308DA" w:rsidR="00BD0D19" w:rsidRDefault="00BD0D19" w:rsidP="00722DE9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L’activité </w:t>
            </w:r>
            <w:r w:rsidR="00431145">
              <w:rPr>
                <w:rFonts w:ascii="Arial" w:hAnsi="Arial" w:cs="Arial"/>
                <w:sz w:val="22"/>
                <w:szCs w:val="22"/>
              </w:rPr>
              <w:t>commerciale du CC/ADE/DC est inconnue.</w:t>
            </w:r>
          </w:p>
        </w:tc>
        <w:tc>
          <w:tcPr>
            <w:tcW w:w="1620" w:type="dxa"/>
            <w:vAlign w:val="bottom"/>
          </w:tcPr>
          <w:p w14:paraId="503C4E07" w14:textId="290B39F0" w:rsidR="00BD0D19" w:rsidRDefault="00431145" w:rsidP="00722DE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□     non □</w:t>
            </w:r>
          </w:p>
        </w:tc>
      </w:tr>
      <w:tr w:rsidR="00722DE9" w:rsidRPr="008E55A6" w14:paraId="633B4EE3" w14:textId="77777777" w:rsidTr="008E55A6">
        <w:tc>
          <w:tcPr>
            <w:tcW w:w="7920" w:type="dxa"/>
          </w:tcPr>
          <w:p w14:paraId="229CF9FF" w14:textId="33EF31E0" w:rsidR="00722DE9" w:rsidRPr="00A638D5" w:rsidRDefault="00722DE9" w:rsidP="00722DE9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 n’existe pas de contact personnel avec le CC/ADE/</w:t>
            </w:r>
            <w:r w:rsidR="00431145">
              <w:rPr>
                <w:rFonts w:ascii="Arial" w:hAnsi="Arial" w:cs="Arial"/>
                <w:sz w:val="22"/>
                <w:szCs w:val="22"/>
              </w:rPr>
              <w:t>DC/</w:t>
            </w:r>
            <w:r>
              <w:rPr>
                <w:rFonts w:ascii="Arial" w:hAnsi="Arial" w:cs="Arial"/>
                <w:sz w:val="22"/>
                <w:szCs w:val="22"/>
              </w:rPr>
              <w:t>fondé de procuration</w:t>
            </w:r>
            <w:r w:rsidR="004311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bottom"/>
          </w:tcPr>
          <w:p w14:paraId="7B2F5E23" w14:textId="77777777" w:rsidR="00722DE9" w:rsidRPr="008E55A6" w:rsidRDefault="00722DE9" w:rsidP="00722DE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□     non □</w:t>
            </w:r>
          </w:p>
        </w:tc>
      </w:tr>
      <w:tr w:rsidR="00722DE9" w:rsidRPr="008E55A6" w14:paraId="03811A79" w14:textId="77777777" w:rsidTr="008E55A6">
        <w:tc>
          <w:tcPr>
            <w:tcW w:w="7920" w:type="dxa"/>
          </w:tcPr>
          <w:p w14:paraId="754E4323" w14:textId="2B3511B0" w:rsidR="00722DE9" w:rsidRDefault="00431145" w:rsidP="00722DE9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L’a</w:t>
            </w:r>
            <w:r w:rsidR="00722DE9" w:rsidRPr="00B714A0">
              <w:rPr>
                <w:rFonts w:ascii="Arial" w:hAnsi="Arial" w:cs="Arial"/>
                <w:sz w:val="22"/>
                <w:szCs w:val="22"/>
              </w:rPr>
              <w:t xml:space="preserve">ctivité commerciale ou </w:t>
            </w:r>
            <w:r>
              <w:rPr>
                <w:rFonts w:ascii="Arial" w:hAnsi="Arial" w:cs="Arial"/>
                <w:sz w:val="22"/>
                <w:szCs w:val="22"/>
              </w:rPr>
              <w:t xml:space="preserve">les </w:t>
            </w:r>
            <w:r w:rsidR="00722DE9" w:rsidRPr="00B714A0">
              <w:rPr>
                <w:rFonts w:ascii="Arial" w:hAnsi="Arial" w:cs="Arial"/>
                <w:sz w:val="22"/>
                <w:szCs w:val="22"/>
              </w:rPr>
              <w:t>prestations demandées</w:t>
            </w:r>
            <w:r>
              <w:rPr>
                <w:rFonts w:ascii="Arial" w:hAnsi="Arial" w:cs="Arial"/>
                <w:sz w:val="22"/>
                <w:szCs w:val="22"/>
              </w:rPr>
              <w:t xml:space="preserve"> relèvent du</w:t>
            </w:r>
            <w:r w:rsidR="00722DE9" w:rsidRPr="00B714A0">
              <w:rPr>
                <w:rFonts w:ascii="Arial" w:hAnsi="Arial" w:cs="Arial"/>
                <w:sz w:val="22"/>
                <w:szCs w:val="22"/>
              </w:rPr>
              <w:t xml:space="preserve"> domaine du commerce d'armes, des entreprises de casinos, de l'extraction/du commerce de pierres précieuses.</w:t>
            </w:r>
          </w:p>
        </w:tc>
        <w:tc>
          <w:tcPr>
            <w:tcW w:w="1620" w:type="dxa"/>
            <w:vAlign w:val="bottom"/>
          </w:tcPr>
          <w:p w14:paraId="56728C66" w14:textId="77777777" w:rsidR="00722DE9" w:rsidRDefault="00722DE9" w:rsidP="00722DE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□     non □</w:t>
            </w:r>
          </w:p>
        </w:tc>
      </w:tr>
      <w:tr w:rsidR="00722DE9" w:rsidRPr="008E55A6" w14:paraId="3F4768B1" w14:textId="77777777" w:rsidTr="008E55A6">
        <w:tc>
          <w:tcPr>
            <w:tcW w:w="7920" w:type="dxa"/>
          </w:tcPr>
          <w:p w14:paraId="0AE13946" w14:textId="1B37EE03" w:rsidR="00722DE9" w:rsidRPr="007212C5" w:rsidRDefault="00431145" w:rsidP="00722DE9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D’autres activités commerciales du CC/ADE/DC/fondé de procuration ou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les </w:t>
            </w:r>
            <w:r w:rsidR="00722DE9">
              <w:rPr>
                <w:rFonts w:ascii="Arial" w:hAnsi="Arial" w:cs="Arial"/>
                <w:sz w:val="22"/>
                <w:szCs w:val="22"/>
              </w:rPr>
              <w:t xml:space="preserve"> prestations</w:t>
            </w:r>
            <w:proofErr w:type="gramEnd"/>
            <w:r w:rsidR="00722DE9">
              <w:rPr>
                <w:rFonts w:ascii="Arial" w:hAnsi="Arial" w:cs="Arial"/>
                <w:sz w:val="22"/>
                <w:szCs w:val="22"/>
              </w:rPr>
              <w:t xml:space="preserve"> requises</w:t>
            </w:r>
            <w:r>
              <w:rPr>
                <w:rFonts w:ascii="Arial" w:hAnsi="Arial" w:cs="Arial"/>
                <w:sz w:val="22"/>
                <w:szCs w:val="22"/>
              </w:rPr>
              <w:t xml:space="preserve"> par ces derniers</w:t>
            </w:r>
            <w:r w:rsidR="00722D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sont</w:t>
            </w:r>
            <w:r w:rsidR="00722DE9">
              <w:rPr>
                <w:rFonts w:ascii="Arial" w:hAnsi="Arial" w:cs="Arial"/>
                <w:sz w:val="22"/>
                <w:szCs w:val="22"/>
              </w:rPr>
              <w:t xml:space="preserve"> liée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22DE9">
              <w:rPr>
                <w:rFonts w:ascii="Arial" w:hAnsi="Arial" w:cs="Arial"/>
                <w:sz w:val="22"/>
                <w:szCs w:val="22"/>
              </w:rPr>
              <w:t xml:space="preserve"> à un risque accru selon le chiffre </w:t>
            </w:r>
            <w:r w:rsidR="00722D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...&gt;"/>
                  </w:textInput>
                </w:ffData>
              </w:fldChar>
            </w:r>
            <w:r w:rsidR="00722DE9" w:rsidRPr="00A638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22DE9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722DE9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722DE9">
              <w:rPr>
                <w:rFonts w:ascii="Arial" w:hAnsi="Arial" w:cs="Arial"/>
                <w:sz w:val="22"/>
                <w:szCs w:val="22"/>
              </w:rPr>
              <w:t>&lt;...&gt;</w:t>
            </w:r>
            <w:r w:rsidR="00722DE9">
              <w:fldChar w:fldCharType="end"/>
            </w:r>
            <w:r w:rsidR="00722DE9">
              <w:t xml:space="preserve"> </w:t>
            </w:r>
            <w:r w:rsidR="00722DE9">
              <w:rPr>
                <w:rFonts w:ascii="Arial" w:hAnsi="Arial" w:cs="Arial"/>
                <w:sz w:val="22"/>
                <w:szCs w:val="22"/>
              </w:rPr>
              <w:t>des directives internes</w:t>
            </w:r>
            <w:r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7"/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bottom"/>
          </w:tcPr>
          <w:p w14:paraId="7D5EF76F" w14:textId="77777777" w:rsidR="00722DE9" w:rsidRPr="008E55A6" w:rsidRDefault="00722DE9" w:rsidP="00722DE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□     non □</w:t>
            </w:r>
          </w:p>
        </w:tc>
      </w:tr>
      <w:tr w:rsidR="00722DE9" w:rsidRPr="008E55A6" w14:paraId="29533573" w14:textId="77777777" w:rsidTr="008E55A6">
        <w:tc>
          <w:tcPr>
            <w:tcW w:w="7920" w:type="dxa"/>
          </w:tcPr>
          <w:p w14:paraId="31882272" w14:textId="7B1A3137" w:rsidR="00722DE9" w:rsidRPr="00B13872" w:rsidRDefault="00722DE9" w:rsidP="00722DE9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relation d’affaires porte, lors de sa conclusion ou plus tard, sur des actifs de plus de CHF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...&gt;"/>
                  </w:textInput>
                </w:ffData>
              </w:fldChar>
            </w:r>
            <w:r w:rsidRPr="00A638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&lt;...&gt;</w:t>
            </w:r>
            <w:r>
              <w:fldChar w:fldCharType="end"/>
            </w:r>
            <w:r w:rsidR="00431145">
              <w:rPr>
                <w:rStyle w:val="Funotenzeichen"/>
              </w:rPr>
              <w:footnoteReference w:id="8"/>
            </w:r>
            <w:r>
              <w:rPr>
                <w:rFonts w:ascii="Arial" w:hAnsi="Arial" w:cs="Arial"/>
                <w:sz w:val="22"/>
                <w:szCs w:val="22"/>
              </w:rPr>
              <w:t xml:space="preserve"> millions </w:t>
            </w:r>
            <w:r w:rsidRPr="00300D99">
              <w:rPr>
                <w:rFonts w:ascii="Arial" w:hAnsi="Arial" w:cs="Arial"/>
                <w:sz w:val="22"/>
                <w:szCs w:val="22"/>
              </w:rPr>
              <w:t>ou à la contre-valeur en monnaie étrangère ou en crypto-monnaie.</w:t>
            </w:r>
          </w:p>
        </w:tc>
        <w:tc>
          <w:tcPr>
            <w:tcW w:w="1620" w:type="dxa"/>
            <w:vAlign w:val="bottom"/>
          </w:tcPr>
          <w:p w14:paraId="4E9E4894" w14:textId="77777777" w:rsidR="00722DE9" w:rsidRPr="008E55A6" w:rsidRDefault="00722DE9" w:rsidP="00722DE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□     non □</w:t>
            </w:r>
          </w:p>
        </w:tc>
      </w:tr>
      <w:tr w:rsidR="00722DE9" w:rsidRPr="008E55A6" w14:paraId="23FFB185" w14:textId="77777777" w:rsidTr="00FB6904">
        <w:tc>
          <w:tcPr>
            <w:tcW w:w="7920" w:type="dxa"/>
          </w:tcPr>
          <w:p w14:paraId="783654E4" w14:textId="3DBEE4E3" w:rsidR="00722DE9" w:rsidRPr="00A638D5" w:rsidRDefault="00722DE9" w:rsidP="00722DE9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CC/ADE/DC/fondé de procuration exerce une activité économique impliquant des valeurs patrimoniales élevées </w:t>
            </w:r>
            <w:r w:rsidRPr="00300D99">
              <w:rPr>
                <w:rFonts w:ascii="Arial" w:hAnsi="Arial" w:cs="Arial"/>
                <w:sz w:val="22"/>
                <w:szCs w:val="22"/>
              </w:rPr>
              <w:t xml:space="preserve">ou </w:t>
            </w:r>
            <w:r w:rsidR="00431145">
              <w:rPr>
                <w:rFonts w:ascii="Arial" w:hAnsi="Arial" w:cs="Arial"/>
                <w:sz w:val="22"/>
                <w:szCs w:val="22"/>
              </w:rPr>
              <w:t xml:space="preserve">leur </w:t>
            </w:r>
            <w:r w:rsidRPr="00300D99">
              <w:rPr>
                <w:rFonts w:ascii="Arial" w:hAnsi="Arial" w:cs="Arial"/>
                <w:sz w:val="22"/>
                <w:szCs w:val="22"/>
              </w:rPr>
              <w:t>contre-valeur en devises étrangères ou en crypto-monnaies</w:t>
            </w:r>
            <w:r>
              <w:rPr>
                <w:rFonts w:ascii="Arial" w:hAnsi="Arial" w:cs="Arial"/>
                <w:sz w:val="22"/>
                <w:szCs w:val="22"/>
              </w:rPr>
              <w:t xml:space="preserve"> (montant des entrées et sorties)</w:t>
            </w:r>
            <w:r w:rsidR="004311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bottom"/>
          </w:tcPr>
          <w:p w14:paraId="5763A00B" w14:textId="77777777" w:rsidR="00722DE9" w:rsidRPr="008E55A6" w:rsidRDefault="00722DE9" w:rsidP="00722DE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□     non □</w:t>
            </w:r>
          </w:p>
        </w:tc>
      </w:tr>
      <w:tr w:rsidR="00722DE9" w:rsidRPr="008E55A6" w14:paraId="0EC67AA3" w14:textId="77777777" w:rsidTr="008E55A6">
        <w:tc>
          <w:tcPr>
            <w:tcW w:w="7920" w:type="dxa"/>
          </w:tcPr>
          <w:p w14:paraId="234A07E5" w14:textId="25CF3C3F" w:rsidR="00722DE9" w:rsidRPr="00A638D5" w:rsidRDefault="00722DE9" w:rsidP="00722DE9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CC/ADE/DC/fondé de procuration donne de faux renseignements, des renseignements trompeurs ou refuse de donner des renseignements</w:t>
            </w:r>
            <w:r w:rsidR="004311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bottom"/>
          </w:tcPr>
          <w:p w14:paraId="6A1DA817" w14:textId="77777777" w:rsidR="00722DE9" w:rsidRPr="008E55A6" w:rsidRDefault="00722DE9" w:rsidP="00722DE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□     non □</w:t>
            </w:r>
          </w:p>
        </w:tc>
      </w:tr>
      <w:tr w:rsidR="00722DE9" w:rsidRPr="008E55A6" w14:paraId="6AF6A8BE" w14:textId="77777777" w:rsidTr="008E55A6">
        <w:tc>
          <w:tcPr>
            <w:tcW w:w="7920" w:type="dxa"/>
          </w:tcPr>
          <w:p w14:paraId="6F5B717D" w14:textId="098D15F4" w:rsidR="00722DE9" w:rsidRPr="00A638D5" w:rsidRDefault="00722DE9" w:rsidP="00722DE9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structure du CC/ADE/fondé de procuration est complexe</w:t>
            </w:r>
            <w:r w:rsidRPr="00394BB5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9"/>
            </w:r>
            <w:r w:rsidR="004311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bottom"/>
          </w:tcPr>
          <w:p w14:paraId="221DC40B" w14:textId="77777777" w:rsidR="00722DE9" w:rsidRPr="008E55A6" w:rsidRDefault="00722DE9" w:rsidP="00722DE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□     non □</w:t>
            </w:r>
          </w:p>
        </w:tc>
      </w:tr>
      <w:tr w:rsidR="00722DE9" w:rsidRPr="008E55A6" w14:paraId="02C75084" w14:textId="77777777" w:rsidTr="008E55A6">
        <w:tc>
          <w:tcPr>
            <w:tcW w:w="7920" w:type="dxa"/>
          </w:tcPr>
          <w:p w14:paraId="13B47D8F" w14:textId="77777777" w:rsidR="00722DE9" w:rsidDel="00921E0F" w:rsidRDefault="00722DE9" w:rsidP="00722DE9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D99">
              <w:rPr>
                <w:rFonts w:ascii="Arial" w:hAnsi="Arial" w:cs="Arial"/>
                <w:sz w:val="22"/>
                <w:szCs w:val="22"/>
              </w:rPr>
              <w:t>La relation d'affaires est conclue avec un intermédiaire financier qui a son domicile ou son siège à l'étranger et qui est soumis à la législation d'un pays qui, selon les directives internes de l'IF, est considéré comme une juridiction ou un pays présentant des risques accrus et qui est soumis à la législation locale en matière de lutte contre le blanchiment d'argent et le financement du terrorisme.</w:t>
            </w:r>
          </w:p>
        </w:tc>
        <w:tc>
          <w:tcPr>
            <w:tcW w:w="1620" w:type="dxa"/>
            <w:vAlign w:val="bottom"/>
          </w:tcPr>
          <w:p w14:paraId="0E41863B" w14:textId="77777777" w:rsidR="00722DE9" w:rsidRDefault="00722DE9" w:rsidP="00722DE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□     non □</w:t>
            </w:r>
          </w:p>
        </w:tc>
      </w:tr>
      <w:tr w:rsidR="00431145" w:rsidRPr="008E55A6" w14:paraId="2C4F967E" w14:textId="77777777" w:rsidTr="008E55A6">
        <w:tc>
          <w:tcPr>
            <w:tcW w:w="7920" w:type="dxa"/>
          </w:tcPr>
          <w:p w14:paraId="1A90A3F9" w14:textId="396919B5" w:rsidR="00431145" w:rsidRPr="00300D99" w:rsidRDefault="00431145" w:rsidP="00431145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transactions à risque accru sont fréquentes.</w:t>
            </w:r>
          </w:p>
        </w:tc>
        <w:tc>
          <w:tcPr>
            <w:tcW w:w="1620" w:type="dxa"/>
            <w:vAlign w:val="bottom"/>
          </w:tcPr>
          <w:p w14:paraId="39EF4C51" w14:textId="23C9C2E6" w:rsidR="00431145" w:rsidRDefault="00431145" w:rsidP="00431145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□     non □</w:t>
            </w:r>
          </w:p>
        </w:tc>
      </w:tr>
      <w:tr w:rsidR="00431145" w:rsidRPr="008E55A6" w14:paraId="77052C8C" w14:textId="77777777" w:rsidTr="008E55A6">
        <w:tc>
          <w:tcPr>
            <w:tcW w:w="7920" w:type="dxa"/>
          </w:tcPr>
          <w:p w14:paraId="7B5DB143" w14:textId="5511E11C" w:rsidR="00431145" w:rsidRPr="00300D99" w:rsidRDefault="00ED2E2E" w:rsidP="00431145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Funotenzeichen"/>
                <w:rFonts w:ascii="Arial" w:hAnsi="Arial" w:cs="Arial"/>
                <w:sz w:val="22"/>
                <w:szCs w:val="22"/>
              </w:rPr>
              <w:lastRenderedPageBreak/>
              <w:footnoteReference w:id="10"/>
            </w:r>
          </w:p>
        </w:tc>
        <w:tc>
          <w:tcPr>
            <w:tcW w:w="1620" w:type="dxa"/>
            <w:vAlign w:val="bottom"/>
          </w:tcPr>
          <w:p w14:paraId="54666388" w14:textId="77777777" w:rsidR="00431145" w:rsidRDefault="00431145" w:rsidP="00431145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145" w:rsidRPr="008E55A6" w14:paraId="44C2EE03" w14:textId="77777777" w:rsidTr="008E55A6">
        <w:tc>
          <w:tcPr>
            <w:tcW w:w="7920" w:type="dxa"/>
          </w:tcPr>
          <w:p w14:paraId="6CAA0647" w14:textId="77777777" w:rsidR="00431145" w:rsidRPr="00300D99" w:rsidRDefault="00431145" w:rsidP="00431145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51BFC3AF" w14:textId="77777777" w:rsidR="00431145" w:rsidRDefault="00431145" w:rsidP="00431145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688B94" w14:textId="77777777" w:rsidR="00ED6B0D" w:rsidRDefault="00ED6B0D" w:rsidP="00237387">
      <w:pPr>
        <w:rPr>
          <w:rFonts w:ascii="Arial" w:hAnsi="Arial" w:cs="Arial"/>
        </w:rPr>
      </w:pPr>
    </w:p>
    <w:p w14:paraId="74CF53F0" w14:textId="77777777" w:rsidR="00E71C3B" w:rsidRPr="00420825" w:rsidRDefault="00E71C3B" w:rsidP="00237387">
      <w:pPr>
        <w:rPr>
          <w:rFonts w:ascii="Arial" w:hAnsi="Arial"/>
        </w:rPr>
      </w:pPr>
    </w:p>
    <w:p w14:paraId="7293A28A" w14:textId="77777777" w:rsidR="00E71C3B" w:rsidRPr="00420825" w:rsidRDefault="00E71C3B" w:rsidP="00237387">
      <w:pPr>
        <w:rPr>
          <w:rFonts w:ascii="Arial" w:hAnsi="Arial"/>
        </w:rPr>
      </w:pPr>
    </w:p>
    <w:p w14:paraId="21DAFD74" w14:textId="77777777" w:rsidR="006C6B8B" w:rsidRPr="007E325F" w:rsidRDefault="006C6B8B" w:rsidP="00237387">
      <w:pPr>
        <w:rPr>
          <w:rFonts w:ascii="Arial" w:hAnsi="Arial" w:cs="Arial"/>
        </w:rPr>
      </w:pPr>
      <w:r>
        <w:rPr>
          <w:rFonts w:ascii="Arial" w:hAnsi="Arial"/>
          <w:b/>
          <w:smallCaps/>
          <w:kern w:val="28"/>
          <w:sz w:val="28"/>
        </w:rPr>
        <w:t>Concernant les transactions :</w:t>
      </w:r>
    </w:p>
    <w:p w14:paraId="693A10BF" w14:textId="77777777" w:rsidR="006C6B8B" w:rsidRPr="000900E6" w:rsidRDefault="006C6B8B" w:rsidP="006C6B8B">
      <w:pPr>
        <w:rPr>
          <w:rFonts w:ascii="Arial" w:hAnsi="Arial" w:cs="Arial"/>
          <w:sz w:val="22"/>
          <w:szCs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1620"/>
      </w:tblGrid>
      <w:tr w:rsidR="00D96DF9" w:rsidRPr="008E55A6" w14:paraId="159875D5" w14:textId="77777777" w:rsidTr="008E55A6">
        <w:tc>
          <w:tcPr>
            <w:tcW w:w="7920" w:type="dxa"/>
          </w:tcPr>
          <w:p w14:paraId="73A165C5" w14:textId="77777777" w:rsidR="00D96DF9" w:rsidRDefault="00DE4426" w:rsidP="00D96DF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7D45">
              <w:rPr>
                <w:rFonts w:ascii="Arial" w:hAnsi="Arial" w:cs="Arial"/>
                <w:b/>
                <w:sz w:val="22"/>
                <w:szCs w:val="22"/>
              </w:rPr>
              <w:t>Risque obligatoirement accru</w:t>
            </w:r>
          </w:p>
        </w:tc>
        <w:tc>
          <w:tcPr>
            <w:tcW w:w="1620" w:type="dxa"/>
            <w:vAlign w:val="bottom"/>
          </w:tcPr>
          <w:p w14:paraId="11CA3679" w14:textId="77777777" w:rsidR="00D96DF9" w:rsidRDefault="00D96DF9" w:rsidP="00BA1A94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B8B" w:rsidRPr="008E55A6" w14:paraId="1E5D3B42" w14:textId="77777777" w:rsidTr="008E55A6">
        <w:tc>
          <w:tcPr>
            <w:tcW w:w="7920" w:type="dxa"/>
          </w:tcPr>
          <w:p w14:paraId="14ED36DC" w14:textId="614C4D4A" w:rsidR="006C6B8B" w:rsidRPr="000900E6" w:rsidRDefault="00D96DF9" w:rsidP="00FD3590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 valeurs patrimoniales au sens de l’art. 2 let.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CC145B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11"/>
            </w:r>
            <w:r w:rsidR="007D73B3">
              <w:rPr>
                <w:rFonts w:ascii="Arial" w:hAnsi="Arial" w:cs="Arial"/>
                <w:sz w:val="22"/>
                <w:szCs w:val="22"/>
              </w:rPr>
              <w:t xml:space="preserve"> en relation avec l’art. 42 al</w:t>
            </w:r>
            <w:r w:rsidR="00955707">
              <w:rPr>
                <w:rFonts w:ascii="Arial" w:hAnsi="Arial" w:cs="Arial"/>
                <w:sz w:val="22"/>
                <w:szCs w:val="22"/>
              </w:rPr>
              <w:t>.</w:t>
            </w:r>
            <w:r w:rsidR="007D73B3">
              <w:rPr>
                <w:rFonts w:ascii="Arial" w:hAnsi="Arial" w:cs="Arial"/>
                <w:sz w:val="22"/>
                <w:szCs w:val="22"/>
              </w:rPr>
              <w:t xml:space="preserve"> 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règlement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OAR sont déposées ou retirées physiquement en une fois ou de manière échelonnée pour une valeur supérieure à CHF 100'000 ou l'équivalent en monnaie étrangère</w:t>
            </w:r>
            <w:r w:rsidR="00CC145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bottom"/>
          </w:tcPr>
          <w:p w14:paraId="6B5E5E86" w14:textId="77777777" w:rsidR="006C6B8B" w:rsidRPr="008E55A6" w:rsidRDefault="00BA1A94" w:rsidP="00BA1A94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□     non □</w:t>
            </w:r>
          </w:p>
        </w:tc>
      </w:tr>
      <w:tr w:rsidR="00300D99" w:rsidRPr="008E55A6" w14:paraId="74C3832D" w14:textId="77777777" w:rsidTr="008E55A6">
        <w:tc>
          <w:tcPr>
            <w:tcW w:w="7920" w:type="dxa"/>
          </w:tcPr>
          <w:p w14:paraId="79B72120" w14:textId="6526AB9B" w:rsidR="00300D99" w:rsidRDefault="00300D99" w:rsidP="00300D99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 ou plusieurs transferts de fonds et de valeurs au sens de l’art. 2 let. a) et b)</w:t>
            </w:r>
            <w:r w:rsidR="00CC145B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12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145B">
              <w:rPr>
                <w:rFonts w:ascii="Arial" w:hAnsi="Arial" w:cs="Arial"/>
                <w:sz w:val="22"/>
                <w:szCs w:val="22"/>
              </w:rPr>
              <w:t xml:space="preserve">en relation avec l’art. 42 al. 3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règlement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OAR, apparemment liés entre eux, atteignant ou dépassant la somme de CHF 5'000 ou l'équivalent en monnaie étrangère sont exécutés</w:t>
            </w:r>
            <w:r w:rsidR="00CC145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bottom"/>
          </w:tcPr>
          <w:p w14:paraId="017EB3C7" w14:textId="77777777" w:rsidR="00300D99" w:rsidRDefault="00300D99" w:rsidP="00300D9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□     non □</w:t>
            </w:r>
          </w:p>
        </w:tc>
      </w:tr>
      <w:tr w:rsidR="00300D99" w:rsidRPr="008E55A6" w14:paraId="01EA7595" w14:textId="77777777" w:rsidTr="008E55A6">
        <w:tc>
          <w:tcPr>
            <w:tcW w:w="7920" w:type="dxa"/>
          </w:tcPr>
          <w:p w14:paraId="0B8C43CC" w14:textId="68CDB0DF" w:rsidR="00300D99" w:rsidRDefault="00300D99" w:rsidP="00300D99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relation d'affaires implique des transactions (entrées et sorties) depuis ou vers un pays </w:t>
            </w:r>
            <w:r w:rsidR="00ED2E2E">
              <w:rPr>
                <w:rFonts w:ascii="Arial" w:hAnsi="Arial" w:cs="Arial"/>
                <w:sz w:val="22"/>
                <w:szCs w:val="22"/>
              </w:rPr>
              <w:t>considéré</w:t>
            </w:r>
            <w:r w:rsidR="00CC145B">
              <w:rPr>
                <w:rFonts w:ascii="Arial" w:hAnsi="Arial" w:cs="Arial"/>
                <w:sz w:val="22"/>
                <w:szCs w:val="22"/>
              </w:rPr>
              <w:t xml:space="preserve"> comme « high </w:t>
            </w:r>
            <w:proofErr w:type="spellStart"/>
            <w:r w:rsidR="00CC145B">
              <w:rPr>
                <w:rFonts w:ascii="Arial" w:hAnsi="Arial" w:cs="Arial"/>
                <w:sz w:val="22"/>
                <w:szCs w:val="22"/>
              </w:rPr>
              <w:t>risk</w:t>
            </w:r>
            <w:bookmarkStart w:id="1" w:name="_Ref132205227"/>
            <w:proofErr w:type="spellEnd"/>
            <w:r w:rsidR="00CC145B">
              <w:rPr>
                <w:rFonts w:ascii="Arial" w:hAnsi="Arial" w:cs="Arial"/>
                <w:sz w:val="22"/>
                <w:szCs w:val="22"/>
              </w:rPr>
              <w:t> » ou non coopératif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2E2E">
              <w:rPr>
                <w:rFonts w:ascii="Arial" w:hAnsi="Arial" w:cs="Arial"/>
                <w:sz w:val="22"/>
                <w:szCs w:val="22"/>
              </w:rPr>
              <w:t xml:space="preserve">par le GAFI </w:t>
            </w:r>
            <w:r w:rsidR="00CC145B">
              <w:rPr>
                <w:rFonts w:ascii="Arial" w:hAnsi="Arial" w:cs="Arial"/>
                <w:sz w:val="22"/>
                <w:szCs w:val="22"/>
              </w:rPr>
              <w:t xml:space="preserve">et pour lequel </w:t>
            </w:r>
            <w:r w:rsidR="00ED2E2E">
              <w:rPr>
                <w:rFonts w:ascii="Arial" w:hAnsi="Arial" w:cs="Arial"/>
                <w:sz w:val="22"/>
                <w:szCs w:val="22"/>
              </w:rPr>
              <w:t>ce dernier</w:t>
            </w:r>
            <w:r w:rsidR="00CC145B">
              <w:rPr>
                <w:rFonts w:ascii="Arial" w:hAnsi="Arial" w:cs="Arial"/>
                <w:sz w:val="22"/>
                <w:szCs w:val="22"/>
              </w:rPr>
              <w:t xml:space="preserve"> appelle à un surcroît de prudence.</w:t>
            </w:r>
          </w:p>
        </w:tc>
        <w:tc>
          <w:tcPr>
            <w:tcW w:w="1620" w:type="dxa"/>
            <w:vAlign w:val="bottom"/>
          </w:tcPr>
          <w:p w14:paraId="1F119E16" w14:textId="77777777" w:rsidR="00300D99" w:rsidRDefault="00300D99" w:rsidP="00300D9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□     non □</w:t>
            </w:r>
          </w:p>
        </w:tc>
      </w:tr>
      <w:tr w:rsidR="00300D99" w:rsidRPr="008E55A6" w14:paraId="0606698C" w14:textId="77777777" w:rsidTr="008E55A6">
        <w:tc>
          <w:tcPr>
            <w:tcW w:w="7920" w:type="dxa"/>
          </w:tcPr>
          <w:p w14:paraId="1AAD8277" w14:textId="77777777" w:rsidR="00300D99" w:rsidRDefault="00300D99" w:rsidP="00300D9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7D45">
              <w:rPr>
                <w:rFonts w:ascii="Arial" w:hAnsi="Arial" w:cs="Arial"/>
                <w:b/>
                <w:sz w:val="22"/>
                <w:szCs w:val="22"/>
              </w:rPr>
              <w:t>Autres critères de risque élevé</w:t>
            </w:r>
          </w:p>
        </w:tc>
        <w:tc>
          <w:tcPr>
            <w:tcW w:w="1620" w:type="dxa"/>
            <w:vAlign w:val="bottom"/>
          </w:tcPr>
          <w:p w14:paraId="0D72BE97" w14:textId="77777777" w:rsidR="00300D99" w:rsidRDefault="00300D99" w:rsidP="00300D9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D99" w:rsidRPr="008E55A6" w14:paraId="7872006B" w14:textId="77777777" w:rsidTr="008E55A6">
        <w:tc>
          <w:tcPr>
            <w:tcW w:w="7920" w:type="dxa"/>
          </w:tcPr>
          <w:p w14:paraId="3F0BC64C" w14:textId="40871979" w:rsidR="00300D99" w:rsidRPr="0044145B" w:rsidRDefault="00300D99" w:rsidP="00300D99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Pays d’origine ou de destination de paiements, notamment pour les paiements en provenance ou à destination d’un pays considéré comme « high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risk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 »</w:t>
            </w:r>
            <w:r w:rsidR="000C416C" w:rsidRPr="000C416C">
              <w:rPr>
                <w:rFonts w:ascii="Arial" w:hAnsi="Arial" w:cs="Arial"/>
                <w:sz w:val="22"/>
                <w:szCs w:val="22"/>
                <w:vertAlign w:val="superscript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ou non coopératif</w:t>
            </w:r>
            <w:r w:rsidR="000C416C" w:rsidRPr="000C416C">
              <w:rPr>
                <w:rFonts w:ascii="Arial" w:hAnsi="Arial" w:cs="Arial"/>
                <w:sz w:val="22"/>
                <w:szCs w:val="22"/>
                <w:vertAlign w:val="superscript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par le GAFI</w:t>
            </w:r>
          </w:p>
        </w:tc>
        <w:tc>
          <w:tcPr>
            <w:tcW w:w="1620" w:type="dxa"/>
            <w:vAlign w:val="bottom"/>
          </w:tcPr>
          <w:p w14:paraId="41C3326B" w14:textId="77777777" w:rsidR="00300D99" w:rsidRPr="008E55A6" w:rsidRDefault="00300D99" w:rsidP="00300D9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□     non □</w:t>
            </w:r>
          </w:p>
        </w:tc>
      </w:tr>
      <w:tr w:rsidR="00300D99" w:rsidRPr="008E55A6" w14:paraId="2F7A09A5" w14:textId="77777777" w:rsidTr="008E55A6">
        <w:tc>
          <w:tcPr>
            <w:tcW w:w="7920" w:type="dxa"/>
          </w:tcPr>
          <w:p w14:paraId="48870900" w14:textId="6E3ED76C" w:rsidR="00300D99" w:rsidRDefault="00300D99" w:rsidP="00300D99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transaction porte sur des valeurs patrimoniales d’un montant total de CHF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...&gt;"/>
                  </w:textInput>
                </w:ffData>
              </w:fldChar>
            </w:r>
            <w:r w:rsidRPr="00A638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&lt;...&gt;</w:t>
            </w:r>
            <w:r>
              <w:fldChar w:fldCharType="end"/>
            </w:r>
            <w:r w:rsidR="000C416C" w:rsidRPr="000C416C">
              <w:rPr>
                <w:rStyle w:val="Kommentarzeichen"/>
                <w:rFonts w:ascii="Arial" w:hAnsi="Arial" w:cs="Arial"/>
                <w:sz w:val="20"/>
                <w:szCs w:val="20"/>
                <w:vertAlign w:val="superscript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 xml:space="preserve"> ou supérieur (p.ex. tranches de la transaction totale via d’autres IF, ou autres)</w:t>
            </w:r>
          </w:p>
        </w:tc>
        <w:tc>
          <w:tcPr>
            <w:tcW w:w="1620" w:type="dxa"/>
            <w:vAlign w:val="bottom"/>
          </w:tcPr>
          <w:p w14:paraId="7F710FDA" w14:textId="77777777" w:rsidR="00300D99" w:rsidRDefault="00300D99" w:rsidP="00300D9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□     non □</w:t>
            </w:r>
          </w:p>
        </w:tc>
      </w:tr>
      <w:tr w:rsidR="00300D99" w:rsidRPr="008E55A6" w14:paraId="4C5B8F5B" w14:textId="77777777" w:rsidTr="008E55A6">
        <w:tc>
          <w:tcPr>
            <w:tcW w:w="7920" w:type="dxa"/>
          </w:tcPr>
          <w:p w14:paraId="77D0C4B2" w14:textId="77777777" w:rsidR="00300D99" w:rsidRPr="007C76C2" w:rsidRDefault="00300D99" w:rsidP="00300D99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Écarts significatifs de la/des transaction(s) par rapport </w:t>
            </w:r>
            <w:r w:rsidRPr="007C76C2">
              <w:rPr>
                <w:rFonts w:ascii="Arial" w:hAnsi="Arial" w:cs="Arial"/>
                <w:sz w:val="22"/>
                <w:szCs w:val="22"/>
              </w:rPr>
              <w:t>aux transactions habituelles dans la relation d’affaires concernée s’agissant de leur nature, leur volume ou leur fréquence</w:t>
            </w:r>
          </w:p>
        </w:tc>
        <w:tc>
          <w:tcPr>
            <w:tcW w:w="1620" w:type="dxa"/>
            <w:vAlign w:val="bottom"/>
          </w:tcPr>
          <w:p w14:paraId="1F16E4FD" w14:textId="77777777" w:rsidR="00300D99" w:rsidRDefault="00300D99" w:rsidP="00300D9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□     non □</w:t>
            </w:r>
          </w:p>
        </w:tc>
      </w:tr>
      <w:tr w:rsidR="00300D99" w:rsidRPr="008E55A6" w14:paraId="04621BB8" w14:textId="77777777" w:rsidTr="008E55A6">
        <w:tc>
          <w:tcPr>
            <w:tcW w:w="7920" w:type="dxa"/>
          </w:tcPr>
          <w:p w14:paraId="6F9780E7" w14:textId="77777777" w:rsidR="00300D99" w:rsidRPr="007C76C2" w:rsidRDefault="00300D99" w:rsidP="00300D99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Écarts significatifs de la/des transaction(s) par rapport </w:t>
            </w:r>
            <w:r w:rsidRPr="007C76C2">
              <w:rPr>
                <w:rFonts w:ascii="Arial" w:hAnsi="Arial" w:cs="Arial"/>
                <w:sz w:val="22"/>
                <w:szCs w:val="22"/>
              </w:rPr>
              <w:t>à la nature, au volume ou à la fréquence des transactions effectuées dans des relations d’affaires comparables</w:t>
            </w:r>
          </w:p>
        </w:tc>
        <w:tc>
          <w:tcPr>
            <w:tcW w:w="1620" w:type="dxa"/>
            <w:vAlign w:val="bottom"/>
          </w:tcPr>
          <w:p w14:paraId="22391EDF" w14:textId="77777777" w:rsidR="00300D99" w:rsidRDefault="00300D99" w:rsidP="00300D9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□     non □</w:t>
            </w:r>
          </w:p>
        </w:tc>
      </w:tr>
      <w:tr w:rsidR="00ED2E2E" w:rsidRPr="008E55A6" w14:paraId="1EC2686C" w14:textId="77777777" w:rsidTr="00420825">
        <w:tc>
          <w:tcPr>
            <w:tcW w:w="7920" w:type="dxa"/>
          </w:tcPr>
          <w:p w14:paraId="636E06DF" w14:textId="41CD8F99" w:rsidR="00ED2E2E" w:rsidRPr="00420825" w:rsidRDefault="000C416C" w:rsidP="00420825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/>
                <w:sz w:val="22"/>
                <w:vertAlign w:val="superscript"/>
              </w:rPr>
            </w:pPr>
            <w:r w:rsidRPr="000C416C">
              <w:rPr>
                <w:rFonts w:ascii="Arial" w:hAnsi="Arial" w:cs="Arial"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1620" w:type="dxa"/>
            <w:vAlign w:val="bottom"/>
          </w:tcPr>
          <w:p w14:paraId="0F0A71F4" w14:textId="77777777" w:rsidR="00ED2E2E" w:rsidRDefault="00ED2E2E" w:rsidP="00300D9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E2E" w:rsidRPr="008E55A6" w14:paraId="77717FA5" w14:textId="77777777" w:rsidTr="008E55A6">
        <w:tc>
          <w:tcPr>
            <w:tcW w:w="7920" w:type="dxa"/>
          </w:tcPr>
          <w:p w14:paraId="39433E0C" w14:textId="77777777" w:rsidR="00ED2E2E" w:rsidRDefault="00ED2E2E" w:rsidP="00300D99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63B02467" w14:textId="77777777" w:rsidR="00ED2E2E" w:rsidRDefault="00ED2E2E" w:rsidP="00300D9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AEABA8" w14:textId="77777777" w:rsidR="003E0C71" w:rsidRPr="00420825" w:rsidRDefault="003E0C71"/>
    <w:p w14:paraId="1B957A8F" w14:textId="421B8CC1" w:rsidR="003E0C71" w:rsidRDefault="003E0C71"/>
    <w:p w14:paraId="744E7215" w14:textId="77777777" w:rsidR="003E0C71" w:rsidRDefault="003E0C71"/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300D99" w:rsidRPr="008E55A6" w14:paraId="5D36AD77" w14:textId="77777777" w:rsidTr="003E0C71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18FE" w14:textId="36B0B1A8" w:rsidR="00300D99" w:rsidRPr="000A17A8" w:rsidRDefault="00300D99" w:rsidP="00300D9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Remarques :</w:t>
            </w:r>
          </w:p>
          <w:p w14:paraId="77A1961F" w14:textId="77777777" w:rsidR="00300D99" w:rsidRDefault="00300D99" w:rsidP="00300D9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0B3F1EC9" w14:textId="77777777" w:rsidR="003E0C71" w:rsidRPr="000A17A8" w:rsidRDefault="003E0C71" w:rsidP="00300D9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0D0918E7" w14:textId="77777777" w:rsidR="00300D99" w:rsidRPr="000A17A8" w:rsidRDefault="00300D99" w:rsidP="00300D9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310D104A" w14:textId="77777777" w:rsidR="00300D99" w:rsidRPr="008E55A6" w:rsidRDefault="00300D99" w:rsidP="00300D9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14:paraId="15A98C1E" w14:textId="77777777" w:rsidR="007C76C2" w:rsidRDefault="007C76C2" w:rsidP="0094080B">
      <w:pPr>
        <w:rPr>
          <w:rFonts w:ascii="Arial" w:hAnsi="Arial" w:cs="Arial"/>
          <w:sz w:val="22"/>
          <w:szCs w:val="22"/>
          <w:u w:val="single"/>
          <w:lang w:val="de-CH"/>
        </w:rPr>
      </w:pPr>
    </w:p>
    <w:p w14:paraId="012A20A3" w14:textId="77777777" w:rsidR="00E71C3B" w:rsidRDefault="00E71C3B" w:rsidP="007C76C2">
      <w:pPr>
        <w:rPr>
          <w:lang w:val="de-CH"/>
        </w:rPr>
      </w:pPr>
    </w:p>
    <w:p w14:paraId="53A27B01" w14:textId="77777777" w:rsidR="00E71C3B" w:rsidRDefault="00E71C3B" w:rsidP="007C76C2">
      <w:pPr>
        <w:rPr>
          <w:lang w:val="de-CH"/>
        </w:rPr>
      </w:pPr>
    </w:p>
    <w:p w14:paraId="23AE031B" w14:textId="77777777" w:rsidR="006C6B8B" w:rsidRDefault="006C6B8B" w:rsidP="0094080B">
      <w:pPr>
        <w:rPr>
          <w:rFonts w:ascii="Arial" w:hAnsi="Arial" w:cs="Arial"/>
          <w:sz w:val="22"/>
          <w:szCs w:val="22"/>
          <w:u w:val="single"/>
          <w:lang w:val="de-CH"/>
        </w:rPr>
      </w:pPr>
    </w:p>
    <w:p w14:paraId="65B9DEE6" w14:textId="77777777" w:rsidR="006C6B8B" w:rsidRPr="00A638D5" w:rsidRDefault="006C6B8B" w:rsidP="006C6B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eastAsia="fr-FR"/>
        </w:rPr>
      </w:pPr>
      <w:r>
        <w:rPr>
          <w:rFonts w:ascii="Arial" w:hAnsi="Arial" w:cs="Arial"/>
          <w:b/>
          <w:sz w:val="22"/>
          <w:szCs w:val="22"/>
        </w:rPr>
        <w:t>Le présent formulaire a été complété par :</w:t>
      </w:r>
    </w:p>
    <w:p w14:paraId="26A91152" w14:textId="77777777" w:rsidR="006C6B8B" w:rsidRPr="00A638D5" w:rsidRDefault="006C6B8B" w:rsidP="006C6B8B">
      <w:pPr>
        <w:rPr>
          <w:rFonts w:ascii="Arial" w:hAnsi="Arial" w:cs="Arial"/>
          <w:sz w:val="22"/>
          <w:szCs w:val="22"/>
          <w:u w:val="single"/>
        </w:rPr>
      </w:pPr>
    </w:p>
    <w:p w14:paraId="3F0A429E" w14:textId="77777777" w:rsidR="006C6B8B" w:rsidRPr="00A638D5" w:rsidRDefault="006C6B8B" w:rsidP="00C440DE">
      <w:pPr>
        <w:tabs>
          <w:tab w:val="left" w:pos="2268"/>
          <w:tab w:val="left" w:leader="do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prénom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7AA7A59" w14:textId="77777777" w:rsidR="006C6B8B" w:rsidRPr="00A638D5" w:rsidRDefault="006C6B8B" w:rsidP="006C6B8B">
      <w:pPr>
        <w:rPr>
          <w:rFonts w:ascii="Arial" w:hAnsi="Arial" w:cs="Arial"/>
          <w:sz w:val="22"/>
          <w:szCs w:val="22"/>
        </w:rPr>
      </w:pPr>
    </w:p>
    <w:p w14:paraId="32245EBB" w14:textId="77777777" w:rsidR="006C6B8B" w:rsidRPr="00A638D5" w:rsidRDefault="006C6B8B" w:rsidP="00C440DE">
      <w:pPr>
        <w:tabs>
          <w:tab w:val="left" w:pos="2268"/>
          <w:tab w:val="left" w:leader="do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85300D4" w14:textId="77777777" w:rsidR="006C6B8B" w:rsidRPr="00A638D5" w:rsidRDefault="006C6B8B" w:rsidP="006C6B8B">
      <w:pPr>
        <w:rPr>
          <w:rFonts w:ascii="Arial" w:hAnsi="Arial" w:cs="Arial"/>
          <w:sz w:val="22"/>
          <w:szCs w:val="22"/>
          <w:u w:val="single"/>
        </w:rPr>
      </w:pPr>
    </w:p>
    <w:p w14:paraId="63539723" w14:textId="77777777" w:rsidR="00ED596C" w:rsidRPr="00A638D5" w:rsidRDefault="00ED596C" w:rsidP="006C6B8B">
      <w:pPr>
        <w:rPr>
          <w:rFonts w:ascii="Arial" w:hAnsi="Arial" w:cs="Arial"/>
          <w:sz w:val="22"/>
          <w:szCs w:val="22"/>
          <w:u w:val="single"/>
        </w:rPr>
      </w:pPr>
    </w:p>
    <w:p w14:paraId="18D9F68E" w14:textId="77777777" w:rsidR="006C6B8B" w:rsidRPr="00A638D5" w:rsidRDefault="006C6B8B" w:rsidP="006C6B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eastAsia="fr-FR"/>
        </w:rPr>
      </w:pPr>
      <w:r>
        <w:rPr>
          <w:rFonts w:ascii="Arial" w:hAnsi="Arial" w:cs="Arial"/>
          <w:b/>
          <w:sz w:val="22"/>
          <w:szCs w:val="22"/>
        </w:rPr>
        <w:t>Évaluation globale :</w:t>
      </w:r>
    </w:p>
    <w:p w14:paraId="7CD45B15" w14:textId="77777777" w:rsidR="006C6B8B" w:rsidRPr="00A638D5" w:rsidRDefault="006C6B8B" w:rsidP="006C6B8B">
      <w:pPr>
        <w:rPr>
          <w:rFonts w:ascii="Arial" w:hAnsi="Arial" w:cs="Arial"/>
          <w:sz w:val="22"/>
          <w:szCs w:val="22"/>
          <w:u w:val="single"/>
        </w:rPr>
      </w:pPr>
    </w:p>
    <w:p w14:paraId="79B728FD" w14:textId="77777777" w:rsidR="006C6B8B" w:rsidRPr="00A638D5" w:rsidRDefault="006C6B8B" w:rsidP="006C6B8B">
      <w:pPr>
        <w:tabs>
          <w:tab w:val="left" w:pos="226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Risque accru</w:t>
      </w:r>
      <w:r>
        <w:rPr>
          <w:rFonts w:ascii="Arial" w:hAnsi="Arial" w:cs="Arial"/>
          <w:sz w:val="22"/>
          <w:szCs w:val="22"/>
        </w:rPr>
        <w:tab/>
        <w:t>□</w:t>
      </w:r>
    </w:p>
    <w:p w14:paraId="02AC7590" w14:textId="77777777" w:rsidR="006C6B8B" w:rsidRPr="00A638D5" w:rsidRDefault="006C6B8B" w:rsidP="006C6B8B">
      <w:pPr>
        <w:tabs>
          <w:tab w:val="left" w:pos="2268"/>
        </w:tabs>
        <w:rPr>
          <w:rFonts w:ascii="Arial" w:hAnsi="Arial" w:cs="Arial"/>
          <w:sz w:val="22"/>
        </w:rPr>
      </w:pPr>
    </w:p>
    <w:p w14:paraId="2D26CE56" w14:textId="77777777" w:rsidR="00F00C05" w:rsidRPr="00A638D5" w:rsidRDefault="006C6B8B" w:rsidP="00C440DE">
      <w:pPr>
        <w:tabs>
          <w:tab w:val="left" w:pos="2268"/>
          <w:tab w:val="left" w:pos="3828"/>
          <w:tab w:val="left" w:pos="5103"/>
          <w:tab w:val="right" w:leader="dot" w:pos="935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Pas de risque accru</w:t>
      </w:r>
      <w:r>
        <w:rPr>
          <w:rFonts w:ascii="Arial" w:hAnsi="Arial" w:cs="Arial"/>
          <w:sz w:val="22"/>
        </w:rPr>
        <w:tab/>
        <w:t>□</w:t>
      </w:r>
      <w:r>
        <w:rPr>
          <w:rFonts w:ascii="Arial" w:hAnsi="Arial" w:cs="Arial"/>
          <w:sz w:val="22"/>
        </w:rPr>
        <w:tab/>
        <w:t>Visa IF 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sectPr w:rsidR="00F00C05" w:rsidRPr="00A638D5" w:rsidSect="006A7A68">
      <w:headerReference w:type="default" r:id="rId8"/>
      <w:footerReference w:type="default" r:id="rId9"/>
      <w:pgSz w:w="11906" w:h="16838"/>
      <w:pgMar w:top="1417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090DDE" w14:textId="77777777" w:rsidR="006A7A68" w:rsidRDefault="006A7A68">
      <w:r>
        <w:separator/>
      </w:r>
    </w:p>
  </w:endnote>
  <w:endnote w:type="continuationSeparator" w:id="0">
    <w:p w14:paraId="0D6D180D" w14:textId="77777777" w:rsidR="006A7A68" w:rsidRDefault="006A7A68">
      <w:r>
        <w:continuationSeparator/>
      </w:r>
    </w:p>
  </w:endnote>
  <w:endnote w:type="continuationNotice" w:id="1">
    <w:p w14:paraId="2BA3C9FB" w14:textId="77777777" w:rsidR="006A7A68" w:rsidRDefault="006A7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4A37B" w14:textId="77777777" w:rsidR="006C6B8B" w:rsidRPr="008E55A6" w:rsidRDefault="008E55A6" w:rsidP="008E55A6">
    <w:pPr>
      <w:pStyle w:val="Fuzeile"/>
      <w:jc w:val="right"/>
      <w:rPr>
        <w:rFonts w:ascii="Arial" w:hAnsi="Arial" w:cs="Arial"/>
        <w:sz w:val="20"/>
      </w:rPr>
    </w:pPr>
    <w:r w:rsidRPr="008E55A6">
      <w:rPr>
        <w:rFonts w:ascii="Arial" w:hAnsi="Arial" w:cs="Arial"/>
        <w:sz w:val="20"/>
      </w:rPr>
      <w:fldChar w:fldCharType="begin"/>
    </w:r>
    <w:r w:rsidRPr="008E55A6">
      <w:rPr>
        <w:rFonts w:ascii="Arial" w:hAnsi="Arial" w:cs="Arial"/>
        <w:sz w:val="20"/>
      </w:rPr>
      <w:instrText>PAGE   \* MERGEFORMAT</w:instrText>
    </w:r>
    <w:r w:rsidRPr="008E55A6">
      <w:rPr>
        <w:rFonts w:ascii="Arial" w:hAnsi="Arial" w:cs="Arial"/>
        <w:sz w:val="20"/>
      </w:rPr>
      <w:fldChar w:fldCharType="separate"/>
    </w:r>
    <w:r w:rsidR="00180BB8" w:rsidRPr="00180BB8">
      <w:rPr>
        <w:rFonts w:ascii="Arial" w:hAnsi="Arial" w:cs="Arial"/>
        <w:noProof/>
        <w:sz w:val="20"/>
        <w:lang w:val="de-DE"/>
      </w:rPr>
      <w:t>1</w:t>
    </w:r>
    <w:r w:rsidRPr="008E55A6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B2B2BB" w14:textId="77777777" w:rsidR="006A7A68" w:rsidRDefault="006A7A68">
      <w:r>
        <w:separator/>
      </w:r>
    </w:p>
  </w:footnote>
  <w:footnote w:type="continuationSeparator" w:id="0">
    <w:p w14:paraId="4A064BEA" w14:textId="77777777" w:rsidR="006A7A68" w:rsidRDefault="006A7A68">
      <w:r>
        <w:continuationSeparator/>
      </w:r>
    </w:p>
  </w:footnote>
  <w:footnote w:type="continuationNotice" w:id="1">
    <w:p w14:paraId="2E88C7E7" w14:textId="77777777" w:rsidR="006A7A68" w:rsidRDefault="006A7A68"/>
  </w:footnote>
  <w:footnote w:id="2">
    <w:p w14:paraId="3A7A8D3A" w14:textId="43C3DA8D" w:rsidR="0048735F" w:rsidRPr="007779BA" w:rsidRDefault="0048735F" w:rsidP="0048735F">
      <w:pPr>
        <w:pStyle w:val="Funotentext"/>
        <w:spacing w:before="120"/>
        <w:ind w:left="709" w:hanging="709"/>
        <w:jc w:val="both"/>
        <w:rPr>
          <w:rFonts w:ascii="Arial" w:hAnsi="Arial" w:cs="Arial"/>
          <w:sz w:val="18"/>
          <w:szCs w:val="18"/>
        </w:rPr>
      </w:pPr>
      <w:r w:rsidRPr="006A7A68">
        <w:rPr>
          <w:rStyle w:val="Funotenzeichen"/>
          <w:rFonts w:ascii="Arial" w:hAnsi="Arial" w:cs="Arial"/>
          <w:sz w:val="18"/>
          <w:szCs w:val="18"/>
          <w:vertAlign w:val="baseline"/>
        </w:rPr>
        <w:footnoteRef/>
      </w:r>
      <w:r w:rsidRPr="007779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7779BA">
        <w:rPr>
          <w:rFonts w:ascii="Arial" w:hAnsi="Arial" w:cs="Arial"/>
          <w:sz w:val="18"/>
          <w:szCs w:val="18"/>
        </w:rPr>
        <w:t>CC : cocontractant ; ADE : ayant droit économique ; DC : détenteur du contrôle.</w:t>
      </w:r>
    </w:p>
  </w:footnote>
  <w:footnote w:id="3">
    <w:p w14:paraId="0312F8D4" w14:textId="392AACF1" w:rsidR="0048735F" w:rsidRPr="009D2001" w:rsidRDefault="0048735F" w:rsidP="006A7A68">
      <w:pPr>
        <w:pStyle w:val="Funotentext"/>
        <w:spacing w:before="120"/>
        <w:rPr>
          <w:rFonts w:ascii="Arial" w:hAnsi="Arial" w:cs="Arial"/>
          <w:sz w:val="18"/>
          <w:szCs w:val="18"/>
        </w:rPr>
      </w:pPr>
      <w:r w:rsidRPr="006A7A68">
        <w:rPr>
          <w:rStyle w:val="Funotenzeichen"/>
          <w:rFonts w:ascii="Arial" w:hAnsi="Arial" w:cs="Arial"/>
          <w:sz w:val="18"/>
          <w:szCs w:val="18"/>
          <w:vertAlign w:val="baseline"/>
        </w:rPr>
        <w:footnoteRef/>
      </w:r>
      <w:r w:rsidRPr="009D2001">
        <w:rPr>
          <w:rFonts w:ascii="Arial" w:hAnsi="Arial" w:cs="Arial"/>
          <w:sz w:val="18"/>
          <w:szCs w:val="18"/>
        </w:rPr>
        <w:t xml:space="preserve"> </w:t>
      </w:r>
      <w:r w:rsidRPr="009D2001">
        <w:rPr>
          <w:rFonts w:ascii="Arial" w:hAnsi="Arial" w:cs="Arial"/>
          <w:sz w:val="18"/>
          <w:szCs w:val="18"/>
        </w:rPr>
        <w:tab/>
        <w:t>PEP : Personne politiquement exposée</w:t>
      </w:r>
      <w:r w:rsidR="006210F2">
        <w:rPr>
          <w:rFonts w:ascii="Arial" w:hAnsi="Arial" w:cs="Arial"/>
          <w:sz w:val="18"/>
          <w:szCs w:val="18"/>
        </w:rPr>
        <w:t>.</w:t>
      </w:r>
    </w:p>
  </w:footnote>
  <w:footnote w:id="4">
    <w:p w14:paraId="45B362FD" w14:textId="008420B8" w:rsidR="00BD0D19" w:rsidRPr="009D2001" w:rsidRDefault="00BD0D19" w:rsidP="006A7A68">
      <w:pPr>
        <w:pStyle w:val="Funotentext"/>
        <w:spacing w:before="120"/>
        <w:ind w:left="709" w:hanging="709"/>
        <w:rPr>
          <w:rFonts w:ascii="Arial" w:hAnsi="Arial" w:cs="Arial"/>
          <w:sz w:val="18"/>
          <w:szCs w:val="18"/>
        </w:rPr>
      </w:pPr>
      <w:r w:rsidRPr="006A7A68">
        <w:rPr>
          <w:rStyle w:val="Funotenzeichen"/>
          <w:rFonts w:ascii="Arial" w:hAnsi="Arial" w:cs="Arial"/>
          <w:sz w:val="18"/>
          <w:szCs w:val="18"/>
          <w:vertAlign w:val="baseline"/>
        </w:rPr>
        <w:footnoteRef/>
      </w:r>
      <w:r w:rsidRPr="009D2001">
        <w:rPr>
          <w:rFonts w:ascii="Arial" w:hAnsi="Arial" w:cs="Arial"/>
          <w:sz w:val="18"/>
          <w:szCs w:val="18"/>
        </w:rPr>
        <w:tab/>
      </w:r>
      <w:hyperlink r:id="rId1" w:history="1">
        <w:r w:rsidRPr="00BD0D19">
          <w:rPr>
            <w:rStyle w:val="Hyperlink"/>
            <w:rFonts w:ascii="Arial" w:hAnsi="Arial" w:cs="Arial"/>
            <w:sz w:val="18"/>
            <w:szCs w:val="18"/>
          </w:rPr>
          <w:t>https://www.fatf-gafi.org/fr/publications/Juridictions-haut-risques-et-sous-surveillance/Call-for-action-february-2024.html</w:t>
        </w:r>
      </w:hyperlink>
      <w:r w:rsidRPr="00BD0D19">
        <w:rPr>
          <w:rFonts w:ascii="Arial" w:hAnsi="Arial" w:cs="Arial"/>
          <w:sz w:val="18"/>
          <w:szCs w:val="18"/>
        </w:rPr>
        <w:t xml:space="preserve"> (état février 2024)</w:t>
      </w:r>
      <w:r w:rsidR="006210F2">
        <w:rPr>
          <w:rFonts w:ascii="Arial" w:hAnsi="Arial" w:cs="Arial"/>
          <w:sz w:val="18"/>
          <w:szCs w:val="18"/>
        </w:rPr>
        <w:t>.</w:t>
      </w:r>
    </w:p>
  </w:footnote>
  <w:footnote w:id="5">
    <w:p w14:paraId="769A5001" w14:textId="5D53D65F" w:rsidR="00BD0D19" w:rsidRPr="009D2001" w:rsidRDefault="00BD0D19" w:rsidP="006A7A68">
      <w:pPr>
        <w:pStyle w:val="Funotentext"/>
        <w:spacing w:before="120"/>
        <w:ind w:left="709" w:hanging="709"/>
        <w:rPr>
          <w:rFonts w:ascii="Arial" w:hAnsi="Arial" w:cs="Arial"/>
          <w:sz w:val="18"/>
          <w:szCs w:val="18"/>
        </w:rPr>
      </w:pPr>
      <w:r w:rsidRPr="006A7A68">
        <w:rPr>
          <w:rStyle w:val="Funotenzeichen"/>
          <w:rFonts w:ascii="Arial" w:hAnsi="Arial" w:cs="Arial"/>
          <w:sz w:val="18"/>
          <w:szCs w:val="18"/>
          <w:vertAlign w:val="baseline"/>
        </w:rPr>
        <w:footnoteRef/>
      </w:r>
      <w:r w:rsidRPr="009D2001">
        <w:rPr>
          <w:rFonts w:ascii="Arial" w:hAnsi="Arial" w:cs="Arial"/>
          <w:sz w:val="18"/>
          <w:szCs w:val="18"/>
        </w:rPr>
        <w:t xml:space="preserve"> </w:t>
      </w:r>
      <w:r w:rsidRPr="009D2001">
        <w:rPr>
          <w:rFonts w:ascii="Arial" w:hAnsi="Arial" w:cs="Arial"/>
          <w:sz w:val="18"/>
          <w:szCs w:val="18"/>
        </w:rPr>
        <w:tab/>
      </w:r>
      <w:hyperlink r:id="rId2" w:history="1">
        <w:r w:rsidRPr="00BD0D19">
          <w:rPr>
            <w:rStyle w:val="Hyperlink"/>
            <w:rFonts w:ascii="Arial" w:hAnsi="Arial" w:cs="Arial"/>
            <w:sz w:val="18"/>
            <w:szCs w:val="18"/>
          </w:rPr>
          <w:t>https://www.fatf-gafi.org/fr/publications/Juridictions-haut-risques-et-sous-surveillance/Increased-monitoring-february-2024.html</w:t>
        </w:r>
      </w:hyperlink>
      <w:r w:rsidRPr="00BD0D19">
        <w:rPr>
          <w:rFonts w:ascii="Arial" w:hAnsi="Arial" w:cs="Arial"/>
          <w:sz w:val="18"/>
          <w:szCs w:val="18"/>
        </w:rPr>
        <w:t xml:space="preserve"> (état février 2024)</w:t>
      </w:r>
      <w:r w:rsidR="006210F2">
        <w:rPr>
          <w:rFonts w:ascii="Arial" w:hAnsi="Arial" w:cs="Arial"/>
          <w:sz w:val="18"/>
          <w:szCs w:val="18"/>
        </w:rPr>
        <w:t>.</w:t>
      </w:r>
    </w:p>
  </w:footnote>
  <w:footnote w:id="6">
    <w:p w14:paraId="6229BF1E" w14:textId="2C0C676C" w:rsidR="00ED2E2E" w:rsidRPr="007779BA" w:rsidRDefault="00ED2E2E" w:rsidP="00ED2E2E">
      <w:pPr>
        <w:pStyle w:val="Funotentext"/>
        <w:spacing w:before="120"/>
        <w:ind w:left="709" w:hanging="709"/>
        <w:jc w:val="both"/>
        <w:rPr>
          <w:rFonts w:ascii="Arial" w:hAnsi="Arial" w:cs="Arial"/>
          <w:sz w:val="18"/>
          <w:szCs w:val="18"/>
        </w:rPr>
      </w:pPr>
      <w:r w:rsidRPr="006A7A68">
        <w:rPr>
          <w:rStyle w:val="Funotenzeichen"/>
          <w:rFonts w:ascii="Arial" w:hAnsi="Arial" w:cs="Arial"/>
          <w:sz w:val="18"/>
          <w:szCs w:val="18"/>
          <w:vertAlign w:val="baseline"/>
        </w:rPr>
        <w:footnoteRef/>
      </w:r>
      <w:r w:rsidRPr="007779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Les directives internes doivent</w:t>
      </w:r>
      <w:r w:rsidR="00AA7727">
        <w:rPr>
          <w:rFonts w:ascii="Arial" w:hAnsi="Arial" w:cs="Arial"/>
          <w:sz w:val="18"/>
          <w:szCs w:val="18"/>
        </w:rPr>
        <w:t xml:space="preserve"> en outre</w:t>
      </w:r>
      <w:r>
        <w:rPr>
          <w:rFonts w:ascii="Arial" w:hAnsi="Arial" w:cs="Arial"/>
          <w:sz w:val="18"/>
          <w:szCs w:val="18"/>
        </w:rPr>
        <w:t xml:space="preserve"> indiquer les pays qui, selon l’estimation de l’IF, impliquent une relation d’affaires à risque accru. </w:t>
      </w:r>
    </w:p>
  </w:footnote>
  <w:footnote w:id="7">
    <w:p w14:paraId="63909971" w14:textId="3B5063B0" w:rsidR="00431145" w:rsidRPr="009D2001" w:rsidRDefault="00431145" w:rsidP="006A7A68">
      <w:pPr>
        <w:pStyle w:val="Funotentext"/>
        <w:spacing w:before="120"/>
        <w:ind w:left="709" w:hanging="709"/>
        <w:rPr>
          <w:rFonts w:ascii="Arial" w:hAnsi="Arial" w:cs="Arial"/>
          <w:sz w:val="18"/>
          <w:szCs w:val="18"/>
        </w:rPr>
      </w:pPr>
      <w:r w:rsidRPr="009D2001">
        <w:rPr>
          <w:rStyle w:val="Funotenzeichen"/>
          <w:rFonts w:ascii="Arial" w:hAnsi="Arial" w:cs="Arial"/>
          <w:sz w:val="18"/>
          <w:szCs w:val="18"/>
        </w:rPr>
        <w:footnoteRef/>
      </w:r>
      <w:r w:rsidRPr="009D2001">
        <w:rPr>
          <w:rFonts w:ascii="Arial" w:hAnsi="Arial" w:cs="Arial"/>
          <w:sz w:val="18"/>
          <w:szCs w:val="18"/>
        </w:rPr>
        <w:t xml:space="preserve"> </w:t>
      </w:r>
      <w:r w:rsidRPr="009D2001">
        <w:rPr>
          <w:rFonts w:ascii="Arial" w:hAnsi="Arial" w:cs="Arial"/>
          <w:sz w:val="18"/>
          <w:szCs w:val="18"/>
        </w:rPr>
        <w:tab/>
        <w:t>Les directives internes doivent indiquer d’autres activités dont l’IF estime qu’elles assortissent une relation d’affaires d’un risque accru</w:t>
      </w:r>
      <w:r w:rsidRPr="006A7A68">
        <w:rPr>
          <w:rFonts w:ascii="Arial" w:hAnsi="Arial" w:cs="Arial"/>
          <w:sz w:val="18"/>
          <w:szCs w:val="18"/>
        </w:rPr>
        <w:t>.</w:t>
      </w:r>
    </w:p>
  </w:footnote>
  <w:footnote w:id="8">
    <w:p w14:paraId="36DF13BA" w14:textId="079AA066" w:rsidR="00431145" w:rsidRPr="009D2001" w:rsidRDefault="00431145" w:rsidP="009D2001">
      <w:pPr>
        <w:pStyle w:val="Funotentext"/>
        <w:ind w:left="709" w:hanging="709"/>
        <w:rPr>
          <w:rFonts w:ascii="Arial" w:hAnsi="Arial" w:cs="Arial"/>
          <w:sz w:val="18"/>
          <w:szCs w:val="18"/>
        </w:rPr>
      </w:pPr>
      <w:r w:rsidRPr="009D2001">
        <w:rPr>
          <w:rStyle w:val="Funotenzeichen"/>
          <w:rFonts w:ascii="Arial" w:hAnsi="Arial" w:cs="Arial"/>
          <w:sz w:val="18"/>
          <w:szCs w:val="18"/>
        </w:rPr>
        <w:footnoteRef/>
      </w:r>
      <w:r w:rsidRPr="009D2001">
        <w:rPr>
          <w:rFonts w:ascii="Arial" w:hAnsi="Arial" w:cs="Arial"/>
          <w:sz w:val="18"/>
          <w:szCs w:val="18"/>
        </w:rPr>
        <w:t xml:space="preserve"> </w:t>
      </w:r>
      <w:r w:rsidRPr="009D2001">
        <w:rPr>
          <w:rFonts w:ascii="Arial" w:hAnsi="Arial" w:cs="Arial"/>
          <w:sz w:val="18"/>
          <w:szCs w:val="18"/>
        </w:rPr>
        <w:tab/>
        <w:t>Les directives internes doivent indiquer un montant à partir duquel l’IF estime que la relation d’affaires présente un risque accru.</w:t>
      </w:r>
    </w:p>
  </w:footnote>
  <w:footnote w:id="9">
    <w:p w14:paraId="61C37C0F" w14:textId="7B95E59F" w:rsidR="00722DE9" w:rsidRPr="00A638D5" w:rsidRDefault="00722DE9" w:rsidP="007779BA">
      <w:pPr>
        <w:pStyle w:val="Funotentext"/>
        <w:spacing w:before="120"/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="007779BA">
        <w:rPr>
          <w:rFonts w:ascii="Arial" w:hAnsi="Arial" w:cs="Arial"/>
          <w:sz w:val="18"/>
          <w:szCs w:val="18"/>
        </w:rPr>
        <w:tab/>
      </w:r>
      <w:r w:rsidR="0090612F">
        <w:rPr>
          <w:rFonts w:ascii="Arial" w:hAnsi="Arial" w:cs="Arial"/>
          <w:sz w:val="18"/>
          <w:szCs w:val="18"/>
        </w:rPr>
        <w:t xml:space="preserve">Il existe </w:t>
      </w:r>
      <w:r w:rsidR="0090612F">
        <w:rPr>
          <w:rFonts w:ascii="Arial" w:hAnsi="Arial" w:cs="Arial"/>
          <w:spacing w:val="-4"/>
          <w:sz w:val="18"/>
          <w:szCs w:val="18"/>
        </w:rPr>
        <w:t>p</w:t>
      </w:r>
      <w:r>
        <w:rPr>
          <w:rFonts w:ascii="Arial" w:hAnsi="Arial" w:cs="Arial"/>
          <w:spacing w:val="-4"/>
          <w:sz w:val="18"/>
          <w:szCs w:val="18"/>
        </w:rPr>
        <w:t>ar exemple plusieurs sociétés de domicile ou une société de domicile avec des actionnaires fiduciaires, dans une juridiction non transparente, sans motif plausible ou en vue d’un placement de fortune à court terme.</w:t>
      </w:r>
    </w:p>
  </w:footnote>
  <w:footnote w:id="10">
    <w:p w14:paraId="29F5E1E4" w14:textId="60653E26" w:rsidR="00ED2E2E" w:rsidRPr="009D2001" w:rsidRDefault="00ED2E2E" w:rsidP="006A7A68">
      <w:pPr>
        <w:pStyle w:val="Funotentext"/>
        <w:spacing w:before="120"/>
        <w:ind w:left="709" w:hanging="709"/>
        <w:rPr>
          <w:rFonts w:ascii="Arial" w:hAnsi="Arial" w:cs="Arial"/>
          <w:sz w:val="18"/>
          <w:szCs w:val="18"/>
        </w:rPr>
      </w:pPr>
      <w:r w:rsidRPr="006A7A68">
        <w:rPr>
          <w:rStyle w:val="Funotenzeichen"/>
          <w:rFonts w:ascii="Arial" w:hAnsi="Arial" w:cs="Arial"/>
          <w:sz w:val="18"/>
          <w:szCs w:val="18"/>
          <w:vertAlign w:val="baseline"/>
        </w:rPr>
        <w:footnoteRef/>
      </w:r>
      <w:r w:rsidRPr="00E71C3B">
        <w:rPr>
          <w:rFonts w:ascii="Arial" w:hAnsi="Arial" w:cs="Arial"/>
          <w:sz w:val="18"/>
          <w:szCs w:val="18"/>
        </w:rPr>
        <w:t xml:space="preserve"> </w:t>
      </w:r>
      <w:r w:rsidRPr="009D2001">
        <w:rPr>
          <w:rFonts w:ascii="Arial" w:hAnsi="Arial" w:cs="Arial"/>
          <w:sz w:val="18"/>
          <w:szCs w:val="18"/>
        </w:rPr>
        <w:tab/>
        <w:t>L’IF peut indiquer ici des critères de risque supplémentaires.</w:t>
      </w:r>
    </w:p>
  </w:footnote>
  <w:footnote w:id="11">
    <w:p w14:paraId="3C9ADFA0" w14:textId="08BF7CBC" w:rsidR="00CC145B" w:rsidRPr="009D2001" w:rsidRDefault="00CC145B" w:rsidP="006A7A68">
      <w:pPr>
        <w:pStyle w:val="Funotentext"/>
        <w:spacing w:before="120"/>
        <w:ind w:left="709" w:hanging="709"/>
        <w:rPr>
          <w:rFonts w:ascii="Arial" w:hAnsi="Arial" w:cs="Arial"/>
          <w:sz w:val="18"/>
          <w:szCs w:val="18"/>
        </w:rPr>
      </w:pPr>
      <w:r w:rsidRPr="006A7A68">
        <w:rPr>
          <w:rStyle w:val="Funotenzeichen"/>
          <w:rFonts w:ascii="Arial" w:hAnsi="Arial" w:cs="Arial"/>
          <w:sz w:val="18"/>
          <w:szCs w:val="18"/>
          <w:vertAlign w:val="baseline"/>
        </w:rPr>
        <w:footnoteRef/>
      </w:r>
      <w:r w:rsidRPr="00E71C3B">
        <w:rPr>
          <w:rFonts w:ascii="Arial" w:hAnsi="Arial" w:cs="Arial"/>
          <w:sz w:val="18"/>
          <w:szCs w:val="18"/>
        </w:rPr>
        <w:t xml:space="preserve"> </w:t>
      </w:r>
      <w:r w:rsidRPr="009D2001">
        <w:rPr>
          <w:rFonts w:ascii="Arial" w:hAnsi="Arial" w:cs="Arial"/>
          <w:sz w:val="18"/>
          <w:szCs w:val="18"/>
        </w:rPr>
        <w:tab/>
        <w:t>Cf. aussi art. 2 let. b) LBA-FINMA</w:t>
      </w:r>
      <w:r w:rsidR="006210F2">
        <w:rPr>
          <w:rFonts w:ascii="Arial" w:hAnsi="Arial" w:cs="Arial"/>
          <w:sz w:val="18"/>
          <w:szCs w:val="18"/>
        </w:rPr>
        <w:t>.</w:t>
      </w:r>
    </w:p>
  </w:footnote>
  <w:footnote w:id="12">
    <w:p w14:paraId="4104788D" w14:textId="22238879" w:rsidR="00CC145B" w:rsidRPr="009D2001" w:rsidRDefault="00CC145B" w:rsidP="006A7A68">
      <w:pPr>
        <w:pStyle w:val="Funotentext"/>
        <w:spacing w:before="120"/>
        <w:ind w:left="709" w:hanging="709"/>
        <w:rPr>
          <w:rFonts w:ascii="Arial" w:hAnsi="Arial" w:cs="Arial"/>
          <w:sz w:val="18"/>
          <w:szCs w:val="18"/>
        </w:rPr>
      </w:pPr>
      <w:r w:rsidRPr="006A7A68">
        <w:rPr>
          <w:rStyle w:val="Funotenzeichen"/>
          <w:rFonts w:ascii="Arial" w:hAnsi="Arial" w:cs="Arial"/>
          <w:sz w:val="18"/>
          <w:szCs w:val="18"/>
          <w:vertAlign w:val="baseline"/>
        </w:rPr>
        <w:footnoteRef/>
      </w:r>
      <w:r w:rsidRPr="00E71C3B">
        <w:rPr>
          <w:rFonts w:ascii="Arial" w:hAnsi="Arial" w:cs="Arial"/>
          <w:sz w:val="18"/>
          <w:szCs w:val="18"/>
        </w:rPr>
        <w:t xml:space="preserve"> </w:t>
      </w:r>
      <w:r w:rsidRPr="009D2001">
        <w:rPr>
          <w:rFonts w:ascii="Arial" w:hAnsi="Arial" w:cs="Arial"/>
          <w:sz w:val="18"/>
          <w:szCs w:val="18"/>
        </w:rPr>
        <w:tab/>
        <w:t xml:space="preserve">Cf. aussi art. 2 let. </w:t>
      </w:r>
      <w:r>
        <w:rPr>
          <w:rFonts w:ascii="Arial" w:hAnsi="Arial" w:cs="Arial"/>
          <w:sz w:val="18"/>
          <w:szCs w:val="18"/>
        </w:rPr>
        <w:t>c</w:t>
      </w:r>
      <w:r w:rsidRPr="009D2001">
        <w:rPr>
          <w:rFonts w:ascii="Arial" w:hAnsi="Arial" w:cs="Arial"/>
          <w:sz w:val="18"/>
          <w:szCs w:val="18"/>
        </w:rPr>
        <w:t>) LBA-FINMA</w:t>
      </w:r>
      <w:r w:rsidR="006210F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290"/>
    </w:tblGrid>
    <w:tr w:rsidR="00787D34" w:rsidRPr="00C30575" w14:paraId="0D7C42D8" w14:textId="77777777">
      <w:tc>
        <w:tcPr>
          <w:tcW w:w="3070" w:type="dxa"/>
        </w:tcPr>
        <w:p w14:paraId="54C9C9E1" w14:textId="77777777" w:rsidR="00787D34" w:rsidRPr="006C6B8B" w:rsidRDefault="00787D34" w:rsidP="00585732">
          <w:pPr>
            <w:pStyle w:val="Kopfzeile"/>
            <w:rPr>
              <w:rFonts w:ascii="Arial" w:hAnsi="Arial"/>
              <w:sz w:val="18"/>
              <w:szCs w:val="18"/>
              <w:lang w:val="en-GB"/>
            </w:rPr>
          </w:pPr>
          <w:r>
            <w:rPr>
              <w:rFonts w:ascii="Arial" w:hAnsi="Arial"/>
              <w:sz w:val="18"/>
              <w:szCs w:val="18"/>
            </w:rPr>
            <w:t>OAR FSA/FSN</w:t>
          </w:r>
        </w:p>
      </w:tc>
      <w:tc>
        <w:tcPr>
          <w:tcW w:w="3070" w:type="dxa"/>
        </w:tcPr>
        <w:p w14:paraId="5C52B226" w14:textId="77777777" w:rsidR="00787D34" w:rsidRPr="00180BB8" w:rsidRDefault="006E07BB" w:rsidP="00585732">
          <w:pPr>
            <w:pStyle w:val="Kopfzeile"/>
            <w:jc w:val="center"/>
            <w:rPr>
              <w:rFonts w:ascii="Arial" w:hAnsi="Arial"/>
              <w:spacing w:val="-8"/>
              <w:sz w:val="18"/>
              <w:szCs w:val="18"/>
            </w:rPr>
          </w:pPr>
          <w:r w:rsidRPr="00180BB8">
            <w:rPr>
              <w:rFonts w:ascii="Arial" w:hAnsi="Arial"/>
              <w:snapToGrid w:val="0"/>
              <w:spacing w:val="-8"/>
              <w:sz w:val="18"/>
              <w:szCs w:val="18"/>
            </w:rPr>
            <w:t>05</w:t>
          </w:r>
          <w:r w:rsidR="00C015C0">
            <w:rPr>
              <w:rFonts w:ascii="Arial" w:hAnsi="Arial"/>
              <w:snapToGrid w:val="0"/>
              <w:spacing w:val="-8"/>
              <w:sz w:val="18"/>
              <w:szCs w:val="18"/>
            </w:rPr>
            <w:t>B</w:t>
          </w:r>
          <w:r w:rsidRPr="00180BB8">
            <w:rPr>
              <w:rFonts w:ascii="Arial" w:hAnsi="Arial"/>
              <w:snapToGrid w:val="0"/>
              <w:spacing w:val="-8"/>
              <w:sz w:val="18"/>
              <w:szCs w:val="18"/>
            </w:rPr>
            <w:t xml:space="preserve"> </w:t>
          </w:r>
          <w:proofErr w:type="spellStart"/>
          <w:r w:rsidR="0044145B">
            <w:rPr>
              <w:rFonts w:ascii="Arial" w:hAnsi="Arial"/>
              <w:snapToGrid w:val="0"/>
              <w:spacing w:val="-8"/>
              <w:sz w:val="18"/>
              <w:szCs w:val="18"/>
            </w:rPr>
            <w:t>F_</w:t>
          </w:r>
          <w:r w:rsidRPr="00180BB8">
            <w:rPr>
              <w:rFonts w:ascii="Arial" w:hAnsi="Arial"/>
              <w:snapToGrid w:val="0"/>
              <w:spacing w:val="-8"/>
              <w:sz w:val="18"/>
              <w:szCs w:val="18"/>
            </w:rPr>
            <w:t>Classification</w:t>
          </w:r>
          <w:proofErr w:type="spellEnd"/>
          <w:r w:rsidRPr="00180BB8">
            <w:rPr>
              <w:rFonts w:ascii="Arial" w:hAnsi="Arial"/>
              <w:snapToGrid w:val="0"/>
              <w:spacing w:val="-8"/>
              <w:sz w:val="18"/>
              <w:szCs w:val="18"/>
            </w:rPr>
            <w:t xml:space="preserve"> en fonction du risque</w:t>
          </w:r>
        </w:p>
      </w:tc>
      <w:tc>
        <w:tcPr>
          <w:tcW w:w="3290" w:type="dxa"/>
        </w:tcPr>
        <w:p w14:paraId="6B894DD8" w14:textId="12839482" w:rsidR="00787D34" w:rsidRPr="00C30575" w:rsidRDefault="00ED6B0D" w:rsidP="008E55A6">
          <w:pPr>
            <w:pStyle w:val="Kopfzeile"/>
            <w:jc w:val="right"/>
            <w:rPr>
              <w:rFonts w:ascii="Arial" w:hAnsi="Arial" w:cs="Arial"/>
              <w:sz w:val="18"/>
              <w:szCs w:val="18"/>
              <w:lang w:val="de-CH"/>
            </w:rPr>
          </w:pPr>
          <w:r>
            <w:rPr>
              <w:rFonts w:ascii="Arial" w:hAnsi="Arial" w:cs="Arial"/>
              <w:sz w:val="18"/>
              <w:szCs w:val="18"/>
            </w:rPr>
            <w:t>V.202</w:t>
          </w:r>
          <w:r w:rsidR="00503789">
            <w:rPr>
              <w:rFonts w:ascii="Arial" w:hAnsi="Arial" w:cs="Arial"/>
              <w:sz w:val="18"/>
              <w:szCs w:val="18"/>
            </w:rPr>
            <w:t>4</w:t>
          </w:r>
        </w:p>
      </w:tc>
    </w:tr>
  </w:tbl>
  <w:p w14:paraId="731D172E" w14:textId="77777777" w:rsidR="00787D34" w:rsidRPr="0044145B" w:rsidRDefault="00787D34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6705F"/>
    <w:multiLevelType w:val="hybridMultilevel"/>
    <w:tmpl w:val="DB10B66A"/>
    <w:lvl w:ilvl="0" w:tplc="A67A33F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90BAB"/>
    <w:multiLevelType w:val="hybridMultilevel"/>
    <w:tmpl w:val="F6D86F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A285F"/>
    <w:multiLevelType w:val="hybridMultilevel"/>
    <w:tmpl w:val="34A4E8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5ACE"/>
    <w:multiLevelType w:val="hybridMultilevel"/>
    <w:tmpl w:val="34A4E88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65C21"/>
    <w:multiLevelType w:val="hybridMultilevel"/>
    <w:tmpl w:val="AE6E247A"/>
    <w:lvl w:ilvl="0" w:tplc="00A2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17855"/>
    <w:multiLevelType w:val="hybridMultilevel"/>
    <w:tmpl w:val="32321E92"/>
    <w:lvl w:ilvl="0" w:tplc="00A2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F6B62"/>
    <w:multiLevelType w:val="hybridMultilevel"/>
    <w:tmpl w:val="FAF06B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A5027"/>
    <w:multiLevelType w:val="hybridMultilevel"/>
    <w:tmpl w:val="40DC8488"/>
    <w:lvl w:ilvl="0" w:tplc="D31C4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35407"/>
    <w:multiLevelType w:val="hybridMultilevel"/>
    <w:tmpl w:val="BA5E2246"/>
    <w:lvl w:ilvl="0" w:tplc="8BB4EC6A">
      <w:start w:val="1"/>
      <w:numFmt w:val="bullet"/>
      <w:lvlText w:val="▪"/>
      <w:lvlJc w:val="left"/>
      <w:pPr>
        <w:tabs>
          <w:tab w:val="num" w:pos="1310"/>
        </w:tabs>
        <w:ind w:left="1310" w:hanging="230"/>
      </w:pPr>
      <w:rPr>
        <w:rFonts w:ascii="Verdana" w:hAnsi="Verdana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7615661">
    <w:abstractNumId w:val="7"/>
  </w:num>
  <w:num w:numId="2" w16cid:durableId="2049647912">
    <w:abstractNumId w:val="8"/>
  </w:num>
  <w:num w:numId="3" w16cid:durableId="2094475181">
    <w:abstractNumId w:val="5"/>
  </w:num>
  <w:num w:numId="4" w16cid:durableId="1948075551">
    <w:abstractNumId w:val="4"/>
  </w:num>
  <w:num w:numId="5" w16cid:durableId="921527377">
    <w:abstractNumId w:val="1"/>
  </w:num>
  <w:num w:numId="6" w16cid:durableId="76481881">
    <w:abstractNumId w:val="3"/>
  </w:num>
  <w:num w:numId="7" w16cid:durableId="898906461">
    <w:abstractNumId w:val="6"/>
  </w:num>
  <w:num w:numId="8" w16cid:durableId="1849756524">
    <w:abstractNumId w:val="2"/>
  </w:num>
  <w:num w:numId="9" w16cid:durableId="1410496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05"/>
    <w:rsid w:val="000064B9"/>
    <w:rsid w:val="00035610"/>
    <w:rsid w:val="00042BA9"/>
    <w:rsid w:val="00046B5F"/>
    <w:rsid w:val="000665BA"/>
    <w:rsid w:val="000723F9"/>
    <w:rsid w:val="000900E6"/>
    <w:rsid w:val="000A17A8"/>
    <w:rsid w:val="000C416C"/>
    <w:rsid w:val="000D0FF8"/>
    <w:rsid w:val="000D4204"/>
    <w:rsid w:val="000F3243"/>
    <w:rsid w:val="00113AB9"/>
    <w:rsid w:val="00144230"/>
    <w:rsid w:val="00154426"/>
    <w:rsid w:val="00166997"/>
    <w:rsid w:val="001754FA"/>
    <w:rsid w:val="00180BB8"/>
    <w:rsid w:val="00181F56"/>
    <w:rsid w:val="001B4301"/>
    <w:rsid w:val="001B7D96"/>
    <w:rsid w:val="001C603B"/>
    <w:rsid w:val="001E5EC4"/>
    <w:rsid w:val="001F7238"/>
    <w:rsid w:val="002010FD"/>
    <w:rsid w:val="002046E7"/>
    <w:rsid w:val="00237387"/>
    <w:rsid w:val="0025001E"/>
    <w:rsid w:val="00251158"/>
    <w:rsid w:val="00274D4B"/>
    <w:rsid w:val="00282AA4"/>
    <w:rsid w:val="00284E37"/>
    <w:rsid w:val="0028764E"/>
    <w:rsid w:val="00293ED6"/>
    <w:rsid w:val="002A4290"/>
    <w:rsid w:val="002C7F42"/>
    <w:rsid w:val="002E208D"/>
    <w:rsid w:val="002F4BA1"/>
    <w:rsid w:val="00300D99"/>
    <w:rsid w:val="003157FE"/>
    <w:rsid w:val="0034253F"/>
    <w:rsid w:val="00343F42"/>
    <w:rsid w:val="00355FFA"/>
    <w:rsid w:val="00356AA9"/>
    <w:rsid w:val="00380F0C"/>
    <w:rsid w:val="003A15FF"/>
    <w:rsid w:val="003A2ACF"/>
    <w:rsid w:val="003D0417"/>
    <w:rsid w:val="003E0C71"/>
    <w:rsid w:val="003F1CAD"/>
    <w:rsid w:val="00412322"/>
    <w:rsid w:val="00412FE1"/>
    <w:rsid w:val="0041334A"/>
    <w:rsid w:val="00415A06"/>
    <w:rsid w:val="00420825"/>
    <w:rsid w:val="00431145"/>
    <w:rsid w:val="0044145B"/>
    <w:rsid w:val="0044327F"/>
    <w:rsid w:val="00446100"/>
    <w:rsid w:val="00460E5F"/>
    <w:rsid w:val="0048735F"/>
    <w:rsid w:val="004A1B66"/>
    <w:rsid w:val="004D0C84"/>
    <w:rsid w:val="00503789"/>
    <w:rsid w:val="00510755"/>
    <w:rsid w:val="00510FFF"/>
    <w:rsid w:val="00520AA3"/>
    <w:rsid w:val="0053555B"/>
    <w:rsid w:val="00540554"/>
    <w:rsid w:val="00557D35"/>
    <w:rsid w:val="00580FF7"/>
    <w:rsid w:val="00585732"/>
    <w:rsid w:val="005913F8"/>
    <w:rsid w:val="005A1F01"/>
    <w:rsid w:val="005A59D0"/>
    <w:rsid w:val="005C2368"/>
    <w:rsid w:val="005C3A28"/>
    <w:rsid w:val="005D4B45"/>
    <w:rsid w:val="005F2D56"/>
    <w:rsid w:val="00602C54"/>
    <w:rsid w:val="006101AF"/>
    <w:rsid w:val="006135D4"/>
    <w:rsid w:val="0061703D"/>
    <w:rsid w:val="006210F2"/>
    <w:rsid w:val="00621C49"/>
    <w:rsid w:val="0062743C"/>
    <w:rsid w:val="00630E4F"/>
    <w:rsid w:val="00643A17"/>
    <w:rsid w:val="00644023"/>
    <w:rsid w:val="006615B6"/>
    <w:rsid w:val="00676500"/>
    <w:rsid w:val="00680302"/>
    <w:rsid w:val="006A7A68"/>
    <w:rsid w:val="006B5015"/>
    <w:rsid w:val="006C14EE"/>
    <w:rsid w:val="006C6B8B"/>
    <w:rsid w:val="006D573F"/>
    <w:rsid w:val="006E07BB"/>
    <w:rsid w:val="006F18E4"/>
    <w:rsid w:val="007212C5"/>
    <w:rsid w:val="00722DE9"/>
    <w:rsid w:val="00726E12"/>
    <w:rsid w:val="00737D45"/>
    <w:rsid w:val="00744C31"/>
    <w:rsid w:val="00762857"/>
    <w:rsid w:val="007779BA"/>
    <w:rsid w:val="007816A6"/>
    <w:rsid w:val="00787D34"/>
    <w:rsid w:val="007B583C"/>
    <w:rsid w:val="007C64E4"/>
    <w:rsid w:val="007C76C2"/>
    <w:rsid w:val="007D73B3"/>
    <w:rsid w:val="007E325F"/>
    <w:rsid w:val="007E6C97"/>
    <w:rsid w:val="007E7287"/>
    <w:rsid w:val="007E7BBC"/>
    <w:rsid w:val="007F330E"/>
    <w:rsid w:val="007F656E"/>
    <w:rsid w:val="00817455"/>
    <w:rsid w:val="008A5A6F"/>
    <w:rsid w:val="008B7F5D"/>
    <w:rsid w:val="008C3142"/>
    <w:rsid w:val="008C3782"/>
    <w:rsid w:val="008D57CC"/>
    <w:rsid w:val="008E21D1"/>
    <w:rsid w:val="008E55A6"/>
    <w:rsid w:val="008F66FC"/>
    <w:rsid w:val="00900FA9"/>
    <w:rsid w:val="0090612F"/>
    <w:rsid w:val="00921E0F"/>
    <w:rsid w:val="009315B0"/>
    <w:rsid w:val="009324F0"/>
    <w:rsid w:val="0094080B"/>
    <w:rsid w:val="00954502"/>
    <w:rsid w:val="00955707"/>
    <w:rsid w:val="00960DCF"/>
    <w:rsid w:val="009835A8"/>
    <w:rsid w:val="00992194"/>
    <w:rsid w:val="009930E0"/>
    <w:rsid w:val="00996595"/>
    <w:rsid w:val="009968F6"/>
    <w:rsid w:val="009D2001"/>
    <w:rsid w:val="009D324E"/>
    <w:rsid w:val="009E53CD"/>
    <w:rsid w:val="009F6249"/>
    <w:rsid w:val="00A12E85"/>
    <w:rsid w:val="00A34BF8"/>
    <w:rsid w:val="00A4657A"/>
    <w:rsid w:val="00A635B5"/>
    <w:rsid w:val="00A638D5"/>
    <w:rsid w:val="00A81D6E"/>
    <w:rsid w:val="00AA7727"/>
    <w:rsid w:val="00AC5A54"/>
    <w:rsid w:val="00AE13B6"/>
    <w:rsid w:val="00B11CB6"/>
    <w:rsid w:val="00B13872"/>
    <w:rsid w:val="00B714A0"/>
    <w:rsid w:val="00B71F19"/>
    <w:rsid w:val="00B744C8"/>
    <w:rsid w:val="00B75137"/>
    <w:rsid w:val="00BA1A94"/>
    <w:rsid w:val="00BA3B15"/>
    <w:rsid w:val="00BB5D2C"/>
    <w:rsid w:val="00BC613C"/>
    <w:rsid w:val="00BD0D19"/>
    <w:rsid w:val="00BD6F4A"/>
    <w:rsid w:val="00BE44A4"/>
    <w:rsid w:val="00BF0BC9"/>
    <w:rsid w:val="00BF0CAF"/>
    <w:rsid w:val="00BF0F14"/>
    <w:rsid w:val="00C015C0"/>
    <w:rsid w:val="00C20AD6"/>
    <w:rsid w:val="00C21BCE"/>
    <w:rsid w:val="00C30575"/>
    <w:rsid w:val="00C314CD"/>
    <w:rsid w:val="00C335DC"/>
    <w:rsid w:val="00C352A1"/>
    <w:rsid w:val="00C440DE"/>
    <w:rsid w:val="00C47BD1"/>
    <w:rsid w:val="00C54FFC"/>
    <w:rsid w:val="00C806D0"/>
    <w:rsid w:val="00C869A4"/>
    <w:rsid w:val="00CB500A"/>
    <w:rsid w:val="00CC145B"/>
    <w:rsid w:val="00CE595E"/>
    <w:rsid w:val="00CF6D93"/>
    <w:rsid w:val="00D05E9C"/>
    <w:rsid w:val="00D16A43"/>
    <w:rsid w:val="00D6460A"/>
    <w:rsid w:val="00D75223"/>
    <w:rsid w:val="00D8092C"/>
    <w:rsid w:val="00D9663B"/>
    <w:rsid w:val="00D96DF9"/>
    <w:rsid w:val="00DB26C9"/>
    <w:rsid w:val="00DE4426"/>
    <w:rsid w:val="00DE557D"/>
    <w:rsid w:val="00DE5EF8"/>
    <w:rsid w:val="00DF0D90"/>
    <w:rsid w:val="00E07403"/>
    <w:rsid w:val="00E129B3"/>
    <w:rsid w:val="00E3680B"/>
    <w:rsid w:val="00E4146C"/>
    <w:rsid w:val="00E44A1D"/>
    <w:rsid w:val="00E565C2"/>
    <w:rsid w:val="00E71C3B"/>
    <w:rsid w:val="00E74371"/>
    <w:rsid w:val="00EA180E"/>
    <w:rsid w:val="00EA46B4"/>
    <w:rsid w:val="00EC077E"/>
    <w:rsid w:val="00EC693E"/>
    <w:rsid w:val="00ED2E2E"/>
    <w:rsid w:val="00ED596C"/>
    <w:rsid w:val="00ED6B0D"/>
    <w:rsid w:val="00EE13D2"/>
    <w:rsid w:val="00F00C05"/>
    <w:rsid w:val="00F259F6"/>
    <w:rsid w:val="00F43F18"/>
    <w:rsid w:val="00F63F7F"/>
    <w:rsid w:val="00F71FA7"/>
    <w:rsid w:val="00F844B4"/>
    <w:rsid w:val="00F92820"/>
    <w:rsid w:val="00F96BC9"/>
    <w:rsid w:val="00FA2048"/>
    <w:rsid w:val="00FB3865"/>
    <w:rsid w:val="00FB6904"/>
    <w:rsid w:val="00FC493D"/>
    <w:rsid w:val="00FD3590"/>
    <w:rsid w:val="00FD4C39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45CB79C"/>
  <w15:chartTrackingRefBased/>
  <w15:docId w15:val="{2A85EC53-4964-4857-898C-7E312205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573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E53CD"/>
    <w:pPr>
      <w:keepNext/>
      <w:outlineLvl w:val="0"/>
    </w:pPr>
    <w:rPr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53C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5857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A2AC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30575"/>
    <w:rPr>
      <w:rFonts w:ascii="Times New Roman" w:hAnsi="Times New Roman"/>
    </w:rPr>
  </w:style>
  <w:style w:type="character" w:customStyle="1" w:styleId="FuzeileZchn">
    <w:name w:val="Fußzeile Zchn"/>
    <w:link w:val="Fuzeile"/>
    <w:uiPriority w:val="99"/>
    <w:rsid w:val="006C6B8B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0D90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F0D90"/>
  </w:style>
  <w:style w:type="character" w:styleId="Funotenzeichen">
    <w:name w:val="footnote reference"/>
    <w:uiPriority w:val="99"/>
    <w:semiHidden/>
    <w:unhideWhenUsed/>
    <w:rsid w:val="00DF0D90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BC61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7A6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BC613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613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C613C"/>
    <w:rPr>
      <w:b/>
      <w:bCs/>
    </w:rPr>
  </w:style>
  <w:style w:type="character" w:styleId="Hyperlink">
    <w:name w:val="Hyperlink"/>
    <w:uiPriority w:val="99"/>
    <w:rsid w:val="007B583C"/>
    <w:rPr>
      <w:rFonts w:ascii="Times New Roman" w:hAnsi="Times New Roman" w:cs="Times New Roman"/>
      <w:color w:val="0000FF"/>
      <w:u w:val="single"/>
    </w:rPr>
  </w:style>
  <w:style w:type="paragraph" w:styleId="berarbeitung">
    <w:name w:val="Revision"/>
    <w:hidden/>
    <w:uiPriority w:val="99"/>
    <w:semiHidden/>
    <w:rsid w:val="005D4B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tf-gafi.org/fr/publications/Juridictions-haut-risques-et-sous-surveillance/Increased-monitoring-february-2024.html" TargetMode="External"/><Relationship Id="rId1" Type="http://schemas.openxmlformats.org/officeDocument/2006/relationships/hyperlink" Target="https://www.fatf-gafi.org/fr/publications/Juridictions-haut-risques-et-sous-surveillance/Call-for-action-february-2024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BAFC-52A0-460F-9066-3AC513C1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5200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Fiche d’évaluation des relations d’affaires et des transactions</vt:lpstr>
      <vt:lpstr>Fiche d’évaluation des relations d’affaires et des transactions</vt:lpstr>
    </vt:vector>
  </TitlesOfParts>
  <Company>Staiger. Schwald &amp; Partner</Company>
  <LinksUpToDate>false</LinksUpToDate>
  <CharactersWithSpaces>6207</CharactersWithSpaces>
  <SharedDoc>false</SharedDoc>
  <HLinks>
    <vt:vector size="6" baseType="variant">
      <vt:variant>
        <vt:i4>7078008</vt:i4>
      </vt:variant>
      <vt:variant>
        <vt:i4>0</vt:i4>
      </vt:variant>
      <vt:variant>
        <vt:i4>0</vt:i4>
      </vt:variant>
      <vt:variant>
        <vt:i4>5</vt:i4>
      </vt:variant>
      <vt:variant>
        <vt:lpwstr>http://www.fatf-gafi.org/countries/</vt:lpwstr>
      </vt:variant>
      <vt:variant>
        <vt:lpwstr>high-risk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d’évaluation des relations d’affaires et des transactions</dc:title>
  <dc:subject/>
  <dc:creator>Roland</dc:creator>
  <cp:keywords/>
  <cp:lastModifiedBy>Merita Nevzadi SRO SAV/SNV</cp:lastModifiedBy>
  <cp:revision>6</cp:revision>
  <cp:lastPrinted>2018-07-18T09:11:00Z</cp:lastPrinted>
  <dcterms:created xsi:type="dcterms:W3CDTF">2024-05-06T13:32:00Z</dcterms:created>
  <dcterms:modified xsi:type="dcterms:W3CDTF">2024-05-16T07:55:00Z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f832f12e835c26a9bd66963af8bdd5b937da87763c499a3bd954e5029556ea90</vt:lpwstr>
  </property>
</Properties>
</file>